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CE" w:rsidRPr="005A15CE" w:rsidRDefault="005A15CE" w:rsidP="00DC48D1">
      <w:pPr>
        <w:rPr>
          <w:rFonts w:ascii="Arial" w:hAnsi="Arial" w:cs="Arial"/>
          <w:b/>
        </w:rPr>
      </w:pPr>
      <w:r w:rsidRPr="005A15CE">
        <w:rPr>
          <w:rFonts w:ascii="Arial" w:hAnsi="Arial" w:cs="Arial"/>
          <w:b/>
        </w:rPr>
        <w:t>Appendix 'K'</w:t>
      </w:r>
    </w:p>
    <w:p w:rsidR="00936D06" w:rsidRPr="00DC48D1" w:rsidRDefault="005A15CE" w:rsidP="00DC48D1">
      <w:pPr>
        <w:rPr>
          <w:rFonts w:ascii="Arial" w:hAnsi="Arial" w:cs="Arial"/>
          <w:b/>
          <w:u w:val="single"/>
        </w:rPr>
      </w:pPr>
      <w:r w:rsidRPr="00DC48D1">
        <w:rPr>
          <w:rFonts w:ascii="Arial" w:hAnsi="Arial" w:cs="Arial"/>
          <w:b/>
          <w:u w:val="single"/>
        </w:rPr>
        <w:t>LEP - Social Value programme – Lead Martin Hill</w:t>
      </w:r>
    </w:p>
    <w:p w:rsidR="005C0C6A" w:rsidRPr="00DC48D1" w:rsidRDefault="005A15CE" w:rsidP="00DC48D1">
      <w:pPr>
        <w:jc w:val="both"/>
        <w:rPr>
          <w:rFonts w:ascii="Arial" w:hAnsi="Arial" w:cs="Arial"/>
        </w:rPr>
      </w:pPr>
      <w:r w:rsidRPr="00DC48D1">
        <w:rPr>
          <w:rFonts w:ascii="Arial" w:hAnsi="Arial" w:cs="Arial"/>
        </w:rPr>
        <w:t xml:space="preserve">Lancashire Enterprise Partnership have successfully embedded Social Value within their key infrastructure investment programmes through the adoption of a LEP wide Social Value Framework. The framework </w:t>
      </w:r>
      <w:r w:rsidRPr="00DC48D1">
        <w:rPr>
          <w:rFonts w:ascii="Arial" w:hAnsi="Arial" w:cs="Arial"/>
        </w:rPr>
        <w:t>utilises the National Themes Outcomes and Measures to embed social value within the procurement, monitoring and evaluation of projects across the LEP's project and programme portfolio including the Growth Deal, City Deal, Boost business support and Rosebud</w:t>
      </w:r>
      <w:r w:rsidRPr="00DC48D1">
        <w:rPr>
          <w:rFonts w:ascii="Arial" w:hAnsi="Arial" w:cs="Arial"/>
        </w:rPr>
        <w:t xml:space="preserve"> Business Finance programmes.  </w:t>
      </w:r>
      <w:bookmarkStart w:id="0" w:name="_GoBack"/>
      <w:bookmarkEnd w:id="0"/>
    </w:p>
    <w:p w:rsidR="008D00AB" w:rsidRPr="00DC48D1" w:rsidRDefault="005A15CE" w:rsidP="00DC48D1">
      <w:pPr>
        <w:jc w:val="both"/>
        <w:rPr>
          <w:rFonts w:ascii="Arial" w:hAnsi="Arial" w:cs="Arial"/>
          <w:u w:val="single"/>
        </w:rPr>
      </w:pPr>
      <w:r w:rsidRPr="00DC48D1">
        <w:rPr>
          <w:rFonts w:ascii="Arial" w:hAnsi="Arial" w:cs="Arial"/>
          <w:u w:val="single"/>
        </w:rPr>
        <w:t>Social Value Framework</w:t>
      </w:r>
    </w:p>
    <w:p w:rsidR="00936D06" w:rsidRPr="00DC48D1" w:rsidRDefault="005A15CE" w:rsidP="00DC48D1">
      <w:pPr>
        <w:jc w:val="both"/>
        <w:rPr>
          <w:rFonts w:ascii="Arial" w:hAnsi="Arial" w:cs="Arial"/>
        </w:rPr>
      </w:pPr>
      <w:r w:rsidRPr="00DC48D1">
        <w:rPr>
          <w:rFonts w:ascii="Arial" w:hAnsi="Arial" w:cs="Arial"/>
        </w:rPr>
        <w:t>As outlined in the LEP Programme Report of June of this year, the framework utilises indicators drawn from the National Social Value Themes Outcomes and Measures, or TOM's for short, which allows the a</w:t>
      </w:r>
      <w:r w:rsidRPr="00DC48D1">
        <w:rPr>
          <w:rFonts w:ascii="Arial" w:hAnsi="Arial" w:cs="Arial"/>
        </w:rPr>
        <w:t xml:space="preserve">ttribution of financial values for a range of outcomes which are derived from Government Office Green Book unit cost values. </w:t>
      </w:r>
    </w:p>
    <w:p w:rsidR="00936D06" w:rsidRPr="00DC48D1" w:rsidRDefault="005A15CE" w:rsidP="00DC48D1">
      <w:pPr>
        <w:jc w:val="both"/>
        <w:rPr>
          <w:rFonts w:ascii="Arial" w:hAnsi="Arial" w:cs="Arial"/>
        </w:rPr>
      </w:pPr>
      <w:r w:rsidRPr="00DC48D1">
        <w:rPr>
          <w:rFonts w:ascii="Arial" w:hAnsi="Arial" w:cs="Arial"/>
        </w:rPr>
        <w:t>The framework provides target outputs against a number of measures which are informed by the Lancashire Employment and Skills Stra</w:t>
      </w:r>
      <w:r w:rsidRPr="00DC48D1">
        <w:rPr>
          <w:rFonts w:ascii="Arial" w:hAnsi="Arial" w:cs="Arial"/>
        </w:rPr>
        <w:t>tegic Framework themes (Future Workforce, Inclusive Workforce and Skilled and Productive Workforce).</w:t>
      </w:r>
    </w:p>
    <w:p w:rsidR="00B432C5" w:rsidRPr="00DC48D1" w:rsidRDefault="005A15CE" w:rsidP="00DC48D1">
      <w:pPr>
        <w:jc w:val="both"/>
        <w:rPr>
          <w:rFonts w:ascii="Arial" w:hAnsi="Arial" w:cs="Arial"/>
          <w:u w:val="single"/>
        </w:rPr>
      </w:pPr>
      <w:r w:rsidRPr="00DC48D1">
        <w:rPr>
          <w:rFonts w:ascii="Arial" w:hAnsi="Arial" w:cs="Arial"/>
          <w:u w:val="single"/>
        </w:rPr>
        <w:t>The Growth Deal Social Value Impact</w:t>
      </w:r>
    </w:p>
    <w:p w:rsidR="00D070EB" w:rsidRPr="00DC48D1" w:rsidRDefault="005A15CE" w:rsidP="00DC48D1">
      <w:pPr>
        <w:jc w:val="both"/>
        <w:rPr>
          <w:rFonts w:ascii="Arial" w:hAnsi="Arial" w:cs="Arial"/>
        </w:rPr>
      </w:pPr>
      <w:r w:rsidRPr="00DC48D1">
        <w:rPr>
          <w:rFonts w:ascii="Arial" w:hAnsi="Arial" w:cs="Arial"/>
        </w:rPr>
        <w:t>The impact of the adoption of this approach can be seen at programme and project level.  The Growth Deal programme gene</w:t>
      </w:r>
      <w:r w:rsidRPr="00DC48D1">
        <w:rPr>
          <w:rFonts w:ascii="Arial" w:hAnsi="Arial" w:cs="Arial"/>
        </w:rPr>
        <w:t>rated a total of £25.9 million of added social value in the last reporting period (2018-19). The table below provides a detailed breakdown of social value delivered across the framework metrics:</w:t>
      </w:r>
    </w:p>
    <w:p w:rsidR="00D070EB" w:rsidRPr="00DC48D1" w:rsidRDefault="005A15CE" w:rsidP="00DC48D1">
      <w:pPr>
        <w:pStyle w:val="NormalWeb"/>
        <w:kinsoku w:val="0"/>
        <w:overflowPunct w:val="0"/>
        <w:spacing w:before="86" w:beforeAutospacing="0" w:after="0" w:afterAutospacing="0"/>
        <w:jc w:val="both"/>
        <w:textAlignment w:val="baseline"/>
        <w:rPr>
          <w:rFonts w:ascii="Arial" w:eastAsia="MS PGothic" w:hAnsi="Arial" w:cs="Arial"/>
          <w:b/>
          <w:color w:val="000000" w:themeColor="text1"/>
          <w:kern w:val="24"/>
          <w:sz w:val="20"/>
          <w:szCs w:val="20"/>
        </w:rPr>
      </w:pPr>
      <w:r w:rsidRPr="00DC48D1">
        <w:rPr>
          <w:rFonts w:ascii="Arial" w:eastAsia="MS PGothic" w:hAnsi="Arial" w:cs="Arial"/>
          <w:b/>
          <w:color w:val="000000" w:themeColor="text1"/>
          <w:kern w:val="24"/>
          <w:sz w:val="20"/>
          <w:szCs w:val="20"/>
        </w:rPr>
        <w:t>Future Workforce</w:t>
      </w:r>
    </w:p>
    <w:tbl>
      <w:tblPr>
        <w:tblStyle w:val="TableGrid"/>
        <w:tblW w:w="0" w:type="auto"/>
        <w:tblLook w:val="04A0" w:firstRow="1" w:lastRow="0" w:firstColumn="1" w:lastColumn="0" w:noHBand="0" w:noVBand="1"/>
      </w:tblPr>
      <w:tblGrid>
        <w:gridCol w:w="6799"/>
        <w:gridCol w:w="851"/>
        <w:gridCol w:w="1366"/>
      </w:tblGrid>
      <w:tr w:rsidR="00DE5F58" w:rsidTr="00DC48D1">
        <w:tc>
          <w:tcPr>
            <w:tcW w:w="6799" w:type="dxa"/>
          </w:tcPr>
          <w:p w:rsidR="00D070EB" w:rsidRPr="00DC48D1" w:rsidRDefault="005A15CE" w:rsidP="00DC48D1">
            <w:pPr>
              <w:pStyle w:val="NoSpacing"/>
              <w:jc w:val="both"/>
              <w:rPr>
                <w:b/>
                <w:sz w:val="16"/>
                <w:szCs w:val="16"/>
              </w:rPr>
            </w:pPr>
            <w:r w:rsidRPr="00DC48D1">
              <w:rPr>
                <w:b/>
                <w:sz w:val="16"/>
                <w:szCs w:val="16"/>
              </w:rPr>
              <w:t>Metric</w:t>
            </w:r>
          </w:p>
        </w:tc>
        <w:tc>
          <w:tcPr>
            <w:tcW w:w="851" w:type="dxa"/>
          </w:tcPr>
          <w:p w:rsidR="00D070EB" w:rsidRPr="00DC48D1" w:rsidRDefault="005A15CE" w:rsidP="00DC48D1">
            <w:pPr>
              <w:pStyle w:val="NoSpacing"/>
              <w:jc w:val="both"/>
              <w:rPr>
                <w:b/>
                <w:sz w:val="16"/>
                <w:szCs w:val="16"/>
              </w:rPr>
            </w:pPr>
            <w:r w:rsidRPr="00DC48D1">
              <w:rPr>
                <w:b/>
                <w:sz w:val="16"/>
                <w:szCs w:val="16"/>
              </w:rPr>
              <w:t>To date</w:t>
            </w:r>
          </w:p>
        </w:tc>
        <w:tc>
          <w:tcPr>
            <w:tcW w:w="1366" w:type="dxa"/>
          </w:tcPr>
          <w:p w:rsidR="00D070EB" w:rsidRPr="00DC48D1" w:rsidRDefault="005A15CE" w:rsidP="00DC48D1">
            <w:pPr>
              <w:pStyle w:val="NoSpacing"/>
              <w:jc w:val="both"/>
              <w:rPr>
                <w:b/>
                <w:sz w:val="16"/>
                <w:szCs w:val="16"/>
              </w:rPr>
            </w:pPr>
            <w:r w:rsidRPr="00DC48D1">
              <w:rPr>
                <w:b/>
                <w:sz w:val="16"/>
                <w:szCs w:val="16"/>
              </w:rPr>
              <w:t>Indicative Social Value</w:t>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Hours volunteered to support learning and education through curriculum links, careers and STEM activity.</w:t>
            </w:r>
          </w:p>
        </w:tc>
        <w:tc>
          <w:tcPr>
            <w:tcW w:w="851" w:type="dxa"/>
          </w:tcPr>
          <w:p w:rsidR="00D070EB" w:rsidRPr="00DC48D1" w:rsidRDefault="005A15CE" w:rsidP="00DC48D1">
            <w:pPr>
              <w:pStyle w:val="NoSpacing"/>
              <w:jc w:val="both"/>
              <w:rPr>
                <w:sz w:val="16"/>
                <w:szCs w:val="16"/>
              </w:rPr>
            </w:pPr>
            <w:r w:rsidRPr="00DC48D1">
              <w:rPr>
                <w:sz w:val="16"/>
                <w:szCs w:val="16"/>
              </w:rPr>
              <w:t>524</w:t>
            </w:r>
          </w:p>
        </w:tc>
        <w:tc>
          <w:tcPr>
            <w:tcW w:w="1366" w:type="dxa"/>
          </w:tcPr>
          <w:p w:rsidR="00D070EB" w:rsidRPr="00DC48D1" w:rsidRDefault="005A15CE" w:rsidP="00DC48D1">
            <w:pPr>
              <w:pStyle w:val="NoSpacing"/>
              <w:jc w:val="both"/>
              <w:rPr>
                <w:sz w:val="16"/>
                <w:szCs w:val="16"/>
              </w:rPr>
            </w:pPr>
            <w:r w:rsidRPr="00DC48D1">
              <w:rPr>
                <w:sz w:val="16"/>
                <w:szCs w:val="16"/>
              </w:rPr>
              <w:t>£72,089.92</w:t>
            </w:r>
            <w:r w:rsidRPr="00DC48D1">
              <w:rPr>
                <w:sz w:val="16"/>
                <w:szCs w:val="16"/>
              </w:rPr>
              <w:tab/>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Number of work experience placements for 15-18 year olds at Lancashire schools and colleges</w:t>
            </w:r>
          </w:p>
        </w:tc>
        <w:tc>
          <w:tcPr>
            <w:tcW w:w="851" w:type="dxa"/>
          </w:tcPr>
          <w:p w:rsidR="00D070EB" w:rsidRPr="00DC48D1" w:rsidRDefault="005A15CE" w:rsidP="00DC48D1">
            <w:pPr>
              <w:pStyle w:val="NoSpacing"/>
              <w:jc w:val="both"/>
              <w:rPr>
                <w:sz w:val="16"/>
                <w:szCs w:val="16"/>
              </w:rPr>
            </w:pPr>
            <w:r w:rsidRPr="00DC48D1">
              <w:rPr>
                <w:sz w:val="16"/>
                <w:szCs w:val="16"/>
              </w:rPr>
              <w:t>207</w:t>
            </w:r>
          </w:p>
        </w:tc>
        <w:tc>
          <w:tcPr>
            <w:tcW w:w="1366" w:type="dxa"/>
          </w:tcPr>
          <w:p w:rsidR="00D070EB" w:rsidRPr="00DC48D1" w:rsidRDefault="005A15CE" w:rsidP="00DC48D1">
            <w:pPr>
              <w:pStyle w:val="NoSpacing"/>
              <w:jc w:val="both"/>
              <w:rPr>
                <w:sz w:val="16"/>
                <w:szCs w:val="16"/>
              </w:rPr>
            </w:pPr>
            <w:r w:rsidRPr="00DC48D1">
              <w:rPr>
                <w:sz w:val="16"/>
                <w:szCs w:val="16"/>
              </w:rPr>
              <w:t>£30,832.65</w:t>
            </w:r>
            <w:r w:rsidRPr="00DC48D1">
              <w:rPr>
                <w:sz w:val="16"/>
                <w:szCs w:val="16"/>
              </w:rPr>
              <w:tab/>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 xml:space="preserve">Number of undergraduate </w:t>
            </w:r>
            <w:r w:rsidRPr="00DC48D1">
              <w:rPr>
                <w:sz w:val="16"/>
                <w:szCs w:val="16"/>
              </w:rPr>
              <w:t>project placements offered to Lancashire's Universities.</w:t>
            </w:r>
          </w:p>
        </w:tc>
        <w:tc>
          <w:tcPr>
            <w:tcW w:w="851" w:type="dxa"/>
          </w:tcPr>
          <w:p w:rsidR="00D070EB" w:rsidRPr="00DC48D1" w:rsidRDefault="005A15CE" w:rsidP="00DC48D1">
            <w:pPr>
              <w:pStyle w:val="NoSpacing"/>
              <w:jc w:val="both"/>
              <w:rPr>
                <w:sz w:val="16"/>
                <w:szCs w:val="16"/>
              </w:rPr>
            </w:pPr>
            <w:r w:rsidRPr="00DC48D1">
              <w:rPr>
                <w:sz w:val="16"/>
                <w:szCs w:val="16"/>
              </w:rPr>
              <w:t>101</w:t>
            </w:r>
          </w:p>
        </w:tc>
        <w:tc>
          <w:tcPr>
            <w:tcW w:w="1366" w:type="dxa"/>
          </w:tcPr>
          <w:p w:rsidR="00D070EB" w:rsidRPr="00DC48D1" w:rsidRDefault="005A15CE" w:rsidP="00DC48D1">
            <w:pPr>
              <w:pStyle w:val="NoSpacing"/>
              <w:jc w:val="both"/>
              <w:rPr>
                <w:sz w:val="16"/>
                <w:szCs w:val="16"/>
              </w:rPr>
            </w:pPr>
            <w:r w:rsidRPr="00DC48D1">
              <w:rPr>
                <w:sz w:val="16"/>
                <w:szCs w:val="16"/>
              </w:rPr>
              <w:t>£15,043.95</w:t>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Number of graduate internships for graduates living in Lancashire</w:t>
            </w:r>
          </w:p>
        </w:tc>
        <w:tc>
          <w:tcPr>
            <w:tcW w:w="851" w:type="dxa"/>
          </w:tcPr>
          <w:p w:rsidR="00D070EB" w:rsidRPr="00DC48D1" w:rsidRDefault="005A15CE" w:rsidP="00DC48D1">
            <w:pPr>
              <w:pStyle w:val="NoSpacing"/>
              <w:jc w:val="both"/>
              <w:rPr>
                <w:sz w:val="16"/>
                <w:szCs w:val="16"/>
              </w:rPr>
            </w:pPr>
            <w:r w:rsidRPr="00DC48D1">
              <w:rPr>
                <w:sz w:val="16"/>
                <w:szCs w:val="16"/>
              </w:rPr>
              <w:t>22</w:t>
            </w:r>
          </w:p>
        </w:tc>
        <w:tc>
          <w:tcPr>
            <w:tcW w:w="1366" w:type="dxa"/>
          </w:tcPr>
          <w:p w:rsidR="00D070EB" w:rsidRPr="00DC48D1" w:rsidRDefault="005A15CE" w:rsidP="00DC48D1">
            <w:pPr>
              <w:pStyle w:val="NoSpacing"/>
              <w:jc w:val="both"/>
              <w:rPr>
                <w:sz w:val="16"/>
                <w:szCs w:val="16"/>
              </w:rPr>
            </w:pPr>
            <w:r w:rsidRPr="00DC48D1">
              <w:rPr>
                <w:sz w:val="16"/>
                <w:szCs w:val="16"/>
              </w:rPr>
              <w:t>£19,661.40</w:t>
            </w:r>
          </w:p>
        </w:tc>
      </w:tr>
    </w:tbl>
    <w:p w:rsidR="00D070EB" w:rsidRPr="00DC48D1" w:rsidRDefault="005A15CE" w:rsidP="00DC48D1">
      <w:pPr>
        <w:spacing w:after="0"/>
        <w:jc w:val="both"/>
        <w:rPr>
          <w:rFonts w:ascii="Arial" w:hAnsi="Arial" w:cs="Arial"/>
          <w:b/>
          <w:sz w:val="20"/>
          <w:szCs w:val="20"/>
        </w:rPr>
      </w:pPr>
      <w:r w:rsidRPr="00DC48D1">
        <w:rPr>
          <w:rFonts w:ascii="Arial" w:hAnsi="Arial" w:cs="Arial"/>
          <w:b/>
          <w:sz w:val="20"/>
          <w:szCs w:val="20"/>
        </w:rPr>
        <w:t>Inclusive Workforce</w:t>
      </w:r>
    </w:p>
    <w:tbl>
      <w:tblPr>
        <w:tblStyle w:val="TableGrid"/>
        <w:tblW w:w="0" w:type="auto"/>
        <w:tblLook w:val="04A0" w:firstRow="1" w:lastRow="0" w:firstColumn="1" w:lastColumn="0" w:noHBand="0" w:noVBand="1"/>
      </w:tblPr>
      <w:tblGrid>
        <w:gridCol w:w="6799"/>
        <w:gridCol w:w="851"/>
        <w:gridCol w:w="1366"/>
      </w:tblGrid>
      <w:tr w:rsidR="00DE5F58" w:rsidTr="00DC48D1">
        <w:tc>
          <w:tcPr>
            <w:tcW w:w="6799" w:type="dxa"/>
          </w:tcPr>
          <w:p w:rsidR="00D070EB" w:rsidRPr="00DC48D1" w:rsidRDefault="005A15CE" w:rsidP="00DC48D1">
            <w:pPr>
              <w:pStyle w:val="NoSpacing"/>
              <w:jc w:val="both"/>
              <w:rPr>
                <w:b/>
                <w:sz w:val="16"/>
                <w:szCs w:val="16"/>
              </w:rPr>
            </w:pPr>
            <w:r w:rsidRPr="00DC48D1">
              <w:rPr>
                <w:b/>
                <w:sz w:val="16"/>
                <w:szCs w:val="16"/>
              </w:rPr>
              <w:t>Metric</w:t>
            </w:r>
          </w:p>
        </w:tc>
        <w:tc>
          <w:tcPr>
            <w:tcW w:w="851" w:type="dxa"/>
          </w:tcPr>
          <w:p w:rsidR="00D070EB" w:rsidRPr="00DC48D1" w:rsidRDefault="005A15CE" w:rsidP="00DC48D1">
            <w:pPr>
              <w:pStyle w:val="NoSpacing"/>
              <w:jc w:val="both"/>
              <w:rPr>
                <w:b/>
                <w:sz w:val="16"/>
                <w:szCs w:val="16"/>
              </w:rPr>
            </w:pPr>
            <w:r w:rsidRPr="00DC48D1">
              <w:rPr>
                <w:b/>
                <w:sz w:val="16"/>
                <w:szCs w:val="16"/>
              </w:rPr>
              <w:t>To date</w:t>
            </w:r>
          </w:p>
        </w:tc>
        <w:tc>
          <w:tcPr>
            <w:tcW w:w="1366" w:type="dxa"/>
          </w:tcPr>
          <w:p w:rsidR="00D070EB" w:rsidRPr="00DC48D1" w:rsidRDefault="005A15CE" w:rsidP="00DC48D1">
            <w:pPr>
              <w:pStyle w:val="NoSpacing"/>
              <w:jc w:val="both"/>
              <w:rPr>
                <w:b/>
                <w:sz w:val="16"/>
                <w:szCs w:val="16"/>
              </w:rPr>
            </w:pPr>
            <w:r w:rsidRPr="00DC48D1">
              <w:rPr>
                <w:b/>
                <w:sz w:val="16"/>
                <w:szCs w:val="16"/>
              </w:rPr>
              <w:t>Indicative Social Value</w:t>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Number of local people (FTE) employed on c</w:t>
            </w:r>
            <w:r w:rsidRPr="00DC48D1">
              <w:rPr>
                <w:sz w:val="16"/>
                <w:szCs w:val="16"/>
              </w:rPr>
              <w:t>ontract through construction phase activity (limited project level data available)</w:t>
            </w:r>
          </w:p>
        </w:tc>
        <w:tc>
          <w:tcPr>
            <w:tcW w:w="851" w:type="dxa"/>
          </w:tcPr>
          <w:p w:rsidR="00D070EB" w:rsidRPr="00DC48D1" w:rsidRDefault="005A15CE" w:rsidP="00DC48D1">
            <w:pPr>
              <w:pStyle w:val="NoSpacing"/>
              <w:jc w:val="both"/>
              <w:rPr>
                <w:sz w:val="16"/>
                <w:szCs w:val="16"/>
              </w:rPr>
            </w:pPr>
            <w:r w:rsidRPr="00DC48D1">
              <w:rPr>
                <w:sz w:val="16"/>
                <w:szCs w:val="16"/>
              </w:rPr>
              <w:t>330</w:t>
            </w:r>
          </w:p>
        </w:tc>
        <w:tc>
          <w:tcPr>
            <w:tcW w:w="1366" w:type="dxa"/>
          </w:tcPr>
          <w:p w:rsidR="00D070EB" w:rsidRPr="00DC48D1" w:rsidRDefault="005A15CE" w:rsidP="00DC48D1">
            <w:pPr>
              <w:pStyle w:val="NoSpacing"/>
              <w:jc w:val="both"/>
              <w:rPr>
                <w:sz w:val="16"/>
                <w:szCs w:val="16"/>
              </w:rPr>
            </w:pPr>
            <w:r w:rsidRPr="00DC48D1">
              <w:rPr>
                <w:sz w:val="16"/>
                <w:szCs w:val="16"/>
              </w:rPr>
              <w:t>£9,490,140</w:t>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Number of work placements or trails offered to unemployed Lancashire residents.</w:t>
            </w:r>
          </w:p>
        </w:tc>
        <w:tc>
          <w:tcPr>
            <w:tcW w:w="851" w:type="dxa"/>
          </w:tcPr>
          <w:p w:rsidR="00D070EB" w:rsidRPr="00DC48D1" w:rsidRDefault="005A15CE" w:rsidP="00DC48D1">
            <w:pPr>
              <w:pStyle w:val="NoSpacing"/>
              <w:jc w:val="both"/>
              <w:rPr>
                <w:sz w:val="16"/>
                <w:szCs w:val="16"/>
              </w:rPr>
            </w:pPr>
            <w:r w:rsidRPr="00DC48D1">
              <w:rPr>
                <w:sz w:val="16"/>
                <w:szCs w:val="16"/>
              </w:rPr>
              <w:t>87</w:t>
            </w:r>
          </w:p>
        </w:tc>
        <w:tc>
          <w:tcPr>
            <w:tcW w:w="1366" w:type="dxa"/>
          </w:tcPr>
          <w:p w:rsidR="00D070EB" w:rsidRPr="00DC48D1" w:rsidRDefault="005A15CE" w:rsidP="00DC48D1">
            <w:pPr>
              <w:pStyle w:val="NoSpacing"/>
              <w:jc w:val="both"/>
              <w:rPr>
                <w:sz w:val="16"/>
                <w:szCs w:val="16"/>
              </w:rPr>
            </w:pPr>
            <w:r w:rsidRPr="00DC48D1">
              <w:rPr>
                <w:sz w:val="16"/>
                <w:szCs w:val="16"/>
              </w:rPr>
              <w:t>£51,834</w:t>
            </w:r>
            <w:r w:rsidRPr="00DC48D1">
              <w:rPr>
                <w:sz w:val="16"/>
                <w:szCs w:val="16"/>
              </w:rPr>
              <w:tab/>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Working days committed from business volunteers to mentor NEET ('not in education, employment or training') young people (16-18 year olds).</w:t>
            </w:r>
          </w:p>
        </w:tc>
        <w:tc>
          <w:tcPr>
            <w:tcW w:w="851" w:type="dxa"/>
          </w:tcPr>
          <w:p w:rsidR="00D070EB" w:rsidRPr="00DC48D1" w:rsidRDefault="005A15CE" w:rsidP="00DC48D1">
            <w:pPr>
              <w:pStyle w:val="NoSpacing"/>
              <w:jc w:val="both"/>
              <w:rPr>
                <w:sz w:val="16"/>
                <w:szCs w:val="16"/>
              </w:rPr>
            </w:pPr>
            <w:r w:rsidRPr="00DC48D1">
              <w:rPr>
                <w:sz w:val="16"/>
                <w:szCs w:val="16"/>
              </w:rPr>
              <w:t>21</w:t>
            </w:r>
          </w:p>
        </w:tc>
        <w:tc>
          <w:tcPr>
            <w:tcW w:w="1366" w:type="dxa"/>
          </w:tcPr>
          <w:p w:rsidR="00D070EB" w:rsidRPr="00DC48D1" w:rsidRDefault="005A15CE" w:rsidP="00DC48D1">
            <w:pPr>
              <w:pStyle w:val="NoSpacing"/>
              <w:jc w:val="both"/>
              <w:rPr>
                <w:sz w:val="16"/>
                <w:szCs w:val="16"/>
              </w:rPr>
            </w:pPr>
            <w:r w:rsidRPr="00DC48D1">
              <w:rPr>
                <w:sz w:val="16"/>
                <w:szCs w:val="16"/>
              </w:rPr>
              <w:t>£13,859</w:t>
            </w:r>
            <w:r w:rsidRPr="00DC48D1">
              <w:rPr>
                <w:sz w:val="16"/>
                <w:szCs w:val="16"/>
              </w:rPr>
              <w:tab/>
            </w:r>
          </w:p>
        </w:tc>
      </w:tr>
      <w:tr w:rsidR="00DE5F58" w:rsidTr="00DC48D1">
        <w:trPr>
          <w:trHeight w:val="431"/>
        </w:trPr>
        <w:tc>
          <w:tcPr>
            <w:tcW w:w="6799" w:type="dxa"/>
          </w:tcPr>
          <w:p w:rsidR="00D070EB" w:rsidRPr="00DC48D1" w:rsidRDefault="005A15CE" w:rsidP="00DC48D1">
            <w:pPr>
              <w:pStyle w:val="NoSpacing"/>
              <w:jc w:val="both"/>
              <w:rPr>
                <w:sz w:val="16"/>
                <w:szCs w:val="16"/>
              </w:rPr>
            </w:pPr>
            <w:r w:rsidRPr="00DC48D1">
              <w:rPr>
                <w:sz w:val="16"/>
                <w:szCs w:val="16"/>
              </w:rPr>
              <w:t>Number of employment opportunities offered to Lancashire residents that are unemployed or at a disadvan</w:t>
            </w:r>
            <w:r w:rsidRPr="00DC48D1">
              <w:rPr>
                <w:sz w:val="16"/>
                <w:szCs w:val="16"/>
              </w:rPr>
              <w:t>tage.</w:t>
            </w:r>
          </w:p>
        </w:tc>
        <w:tc>
          <w:tcPr>
            <w:tcW w:w="851" w:type="dxa"/>
          </w:tcPr>
          <w:p w:rsidR="00D070EB" w:rsidRPr="00DC48D1" w:rsidRDefault="005A15CE" w:rsidP="00DC48D1">
            <w:pPr>
              <w:pStyle w:val="NoSpacing"/>
              <w:jc w:val="both"/>
              <w:rPr>
                <w:sz w:val="16"/>
                <w:szCs w:val="16"/>
              </w:rPr>
            </w:pPr>
            <w:r w:rsidRPr="00DC48D1">
              <w:rPr>
                <w:sz w:val="16"/>
                <w:szCs w:val="16"/>
              </w:rPr>
              <w:t>45</w:t>
            </w:r>
          </w:p>
        </w:tc>
        <w:tc>
          <w:tcPr>
            <w:tcW w:w="1366" w:type="dxa"/>
          </w:tcPr>
          <w:p w:rsidR="00D070EB" w:rsidRPr="00DC48D1" w:rsidRDefault="005A15CE" w:rsidP="00DC48D1">
            <w:pPr>
              <w:pStyle w:val="NoSpacing"/>
              <w:jc w:val="both"/>
              <w:rPr>
                <w:sz w:val="16"/>
                <w:szCs w:val="16"/>
              </w:rPr>
            </w:pPr>
            <w:r w:rsidRPr="00DC48D1">
              <w:rPr>
                <w:sz w:val="16"/>
                <w:szCs w:val="16"/>
              </w:rPr>
              <w:t>£677,652.75</w:t>
            </w:r>
          </w:p>
        </w:tc>
      </w:tr>
    </w:tbl>
    <w:p w:rsidR="00D070EB" w:rsidRPr="00DC48D1" w:rsidRDefault="005A15CE" w:rsidP="00DC48D1">
      <w:pPr>
        <w:spacing w:after="0"/>
        <w:jc w:val="both"/>
        <w:rPr>
          <w:rFonts w:ascii="Arial" w:hAnsi="Arial" w:cs="Arial"/>
          <w:b/>
          <w:sz w:val="20"/>
          <w:szCs w:val="20"/>
        </w:rPr>
      </w:pPr>
      <w:r w:rsidRPr="00DC48D1">
        <w:rPr>
          <w:rFonts w:ascii="Arial" w:hAnsi="Arial" w:cs="Arial"/>
          <w:b/>
          <w:sz w:val="20"/>
          <w:szCs w:val="20"/>
        </w:rPr>
        <w:t>Skilled and Productive Workforce</w:t>
      </w:r>
    </w:p>
    <w:tbl>
      <w:tblPr>
        <w:tblStyle w:val="TableGrid"/>
        <w:tblW w:w="0" w:type="auto"/>
        <w:tblLook w:val="04A0" w:firstRow="1" w:lastRow="0" w:firstColumn="1" w:lastColumn="0" w:noHBand="0" w:noVBand="1"/>
      </w:tblPr>
      <w:tblGrid>
        <w:gridCol w:w="6799"/>
        <w:gridCol w:w="851"/>
        <w:gridCol w:w="1366"/>
      </w:tblGrid>
      <w:tr w:rsidR="00DE5F58" w:rsidTr="00DC48D1">
        <w:tc>
          <w:tcPr>
            <w:tcW w:w="6799" w:type="dxa"/>
          </w:tcPr>
          <w:p w:rsidR="00D070EB" w:rsidRPr="00DC48D1" w:rsidRDefault="005A15CE" w:rsidP="00DC48D1">
            <w:pPr>
              <w:pStyle w:val="NoSpacing"/>
              <w:jc w:val="both"/>
              <w:rPr>
                <w:b/>
                <w:sz w:val="16"/>
                <w:szCs w:val="16"/>
              </w:rPr>
            </w:pPr>
            <w:r w:rsidRPr="00DC48D1">
              <w:rPr>
                <w:b/>
                <w:sz w:val="16"/>
                <w:szCs w:val="16"/>
              </w:rPr>
              <w:t>Metric</w:t>
            </w:r>
          </w:p>
        </w:tc>
        <w:tc>
          <w:tcPr>
            <w:tcW w:w="851" w:type="dxa"/>
          </w:tcPr>
          <w:p w:rsidR="00D070EB" w:rsidRPr="00DC48D1" w:rsidRDefault="005A15CE" w:rsidP="00DC48D1">
            <w:pPr>
              <w:pStyle w:val="NoSpacing"/>
              <w:jc w:val="both"/>
              <w:rPr>
                <w:b/>
                <w:sz w:val="16"/>
                <w:szCs w:val="16"/>
              </w:rPr>
            </w:pPr>
            <w:r w:rsidRPr="00DC48D1">
              <w:rPr>
                <w:b/>
                <w:sz w:val="16"/>
                <w:szCs w:val="16"/>
              </w:rPr>
              <w:t>To date</w:t>
            </w:r>
          </w:p>
        </w:tc>
        <w:tc>
          <w:tcPr>
            <w:tcW w:w="1366" w:type="dxa"/>
          </w:tcPr>
          <w:p w:rsidR="00D070EB" w:rsidRPr="00DC48D1" w:rsidRDefault="005A15CE" w:rsidP="00DC48D1">
            <w:pPr>
              <w:pStyle w:val="NoSpacing"/>
              <w:jc w:val="both"/>
              <w:rPr>
                <w:b/>
                <w:sz w:val="16"/>
                <w:szCs w:val="16"/>
              </w:rPr>
            </w:pPr>
            <w:r w:rsidRPr="00DC48D1">
              <w:rPr>
                <w:b/>
                <w:sz w:val="16"/>
                <w:szCs w:val="16"/>
              </w:rPr>
              <w:t>Indicative Social Value</w:t>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Number of apprenticeships (16-18 year old and Adults).</w:t>
            </w:r>
          </w:p>
        </w:tc>
        <w:tc>
          <w:tcPr>
            <w:tcW w:w="851" w:type="dxa"/>
          </w:tcPr>
          <w:p w:rsidR="00D070EB" w:rsidRPr="00DC48D1" w:rsidRDefault="005A15CE" w:rsidP="00DC48D1">
            <w:pPr>
              <w:pStyle w:val="NoSpacing"/>
              <w:jc w:val="both"/>
              <w:rPr>
                <w:sz w:val="16"/>
                <w:szCs w:val="16"/>
              </w:rPr>
            </w:pPr>
            <w:r w:rsidRPr="00DC48D1">
              <w:rPr>
                <w:sz w:val="16"/>
                <w:szCs w:val="16"/>
              </w:rPr>
              <w:t>601</w:t>
            </w:r>
          </w:p>
        </w:tc>
        <w:tc>
          <w:tcPr>
            <w:tcW w:w="1366" w:type="dxa"/>
          </w:tcPr>
          <w:p w:rsidR="00D070EB" w:rsidRPr="00DC48D1" w:rsidRDefault="005A15CE" w:rsidP="00DC48D1">
            <w:pPr>
              <w:pStyle w:val="NoSpacing"/>
              <w:jc w:val="both"/>
              <w:rPr>
                <w:sz w:val="16"/>
                <w:szCs w:val="16"/>
              </w:rPr>
            </w:pPr>
            <w:r w:rsidRPr="00DC48D1">
              <w:rPr>
                <w:sz w:val="16"/>
                <w:szCs w:val="16"/>
              </w:rPr>
              <w:t>£5,525,353.60</w:t>
            </w:r>
            <w:r w:rsidRPr="00DC48D1">
              <w:rPr>
                <w:sz w:val="16"/>
                <w:szCs w:val="16"/>
              </w:rPr>
              <w:tab/>
            </w: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Commitment to workforce planning and investment in training of employees.</w:t>
            </w:r>
          </w:p>
        </w:tc>
        <w:tc>
          <w:tcPr>
            <w:tcW w:w="851" w:type="dxa"/>
          </w:tcPr>
          <w:p w:rsidR="00D070EB" w:rsidRPr="00DC48D1" w:rsidRDefault="005A15CE" w:rsidP="00DC48D1">
            <w:pPr>
              <w:pStyle w:val="NoSpacing"/>
              <w:jc w:val="both"/>
              <w:rPr>
                <w:sz w:val="16"/>
                <w:szCs w:val="16"/>
              </w:rPr>
            </w:pPr>
            <w:r w:rsidRPr="00DC48D1">
              <w:rPr>
                <w:sz w:val="16"/>
                <w:szCs w:val="16"/>
              </w:rPr>
              <w:t>1008</w:t>
            </w:r>
            <w:r w:rsidRPr="00DC48D1">
              <w:rPr>
                <w:sz w:val="16"/>
                <w:szCs w:val="16"/>
              </w:rPr>
              <w:tab/>
            </w:r>
          </w:p>
        </w:tc>
        <w:tc>
          <w:tcPr>
            <w:tcW w:w="1366" w:type="dxa"/>
          </w:tcPr>
          <w:p w:rsidR="00D070EB" w:rsidRPr="00DC48D1" w:rsidRDefault="005A15CE" w:rsidP="00DC48D1">
            <w:pPr>
              <w:jc w:val="both"/>
              <w:rPr>
                <w:rFonts w:ascii="Arial" w:hAnsi="Arial" w:cs="Arial"/>
                <w:sz w:val="16"/>
                <w:szCs w:val="16"/>
              </w:rPr>
            </w:pPr>
            <w:r w:rsidRPr="00DC48D1">
              <w:rPr>
                <w:rFonts w:ascii="Arial" w:hAnsi="Arial" w:cs="Arial"/>
                <w:sz w:val="16"/>
                <w:szCs w:val="16"/>
              </w:rPr>
              <w:t>£248,361.12</w:t>
            </w:r>
          </w:p>
          <w:p w:rsidR="00D070EB" w:rsidRPr="00DC48D1" w:rsidRDefault="005A15CE" w:rsidP="00DC48D1">
            <w:pPr>
              <w:pStyle w:val="NoSpacing"/>
              <w:jc w:val="both"/>
              <w:rPr>
                <w:sz w:val="16"/>
                <w:szCs w:val="16"/>
              </w:rPr>
            </w:pPr>
          </w:p>
        </w:tc>
      </w:tr>
      <w:tr w:rsidR="00DE5F58" w:rsidTr="00DC48D1">
        <w:tc>
          <w:tcPr>
            <w:tcW w:w="6799" w:type="dxa"/>
          </w:tcPr>
          <w:p w:rsidR="00D070EB" w:rsidRPr="00DC48D1" w:rsidRDefault="005A15CE" w:rsidP="00DC48D1">
            <w:pPr>
              <w:pStyle w:val="NoSpacing"/>
              <w:jc w:val="both"/>
              <w:rPr>
                <w:sz w:val="16"/>
                <w:szCs w:val="16"/>
              </w:rPr>
            </w:pPr>
            <w:r w:rsidRPr="00DC48D1">
              <w:rPr>
                <w:sz w:val="16"/>
                <w:szCs w:val="16"/>
              </w:rPr>
              <w:t>Investment in leadership skills</w:t>
            </w:r>
          </w:p>
        </w:tc>
        <w:tc>
          <w:tcPr>
            <w:tcW w:w="851" w:type="dxa"/>
          </w:tcPr>
          <w:p w:rsidR="00D070EB" w:rsidRPr="00DC48D1" w:rsidRDefault="005A15CE" w:rsidP="00DC48D1">
            <w:pPr>
              <w:pStyle w:val="NoSpacing"/>
              <w:jc w:val="both"/>
              <w:rPr>
                <w:sz w:val="16"/>
                <w:szCs w:val="16"/>
              </w:rPr>
            </w:pPr>
            <w:r w:rsidRPr="00DC48D1">
              <w:rPr>
                <w:sz w:val="16"/>
                <w:szCs w:val="16"/>
              </w:rPr>
              <w:t>212</w:t>
            </w:r>
          </w:p>
        </w:tc>
        <w:tc>
          <w:tcPr>
            <w:tcW w:w="1366" w:type="dxa"/>
          </w:tcPr>
          <w:p w:rsidR="00D070EB" w:rsidRPr="00DC48D1" w:rsidRDefault="005A15CE" w:rsidP="00DC48D1">
            <w:pPr>
              <w:pStyle w:val="NoSpacing"/>
              <w:jc w:val="both"/>
              <w:rPr>
                <w:sz w:val="16"/>
                <w:szCs w:val="16"/>
              </w:rPr>
            </w:pPr>
            <w:r w:rsidRPr="00DC48D1">
              <w:rPr>
                <w:sz w:val="16"/>
                <w:szCs w:val="16"/>
              </w:rPr>
              <w:t>£1,358,101.68</w:t>
            </w:r>
          </w:p>
          <w:p w:rsidR="00D070EB" w:rsidRPr="00DC48D1" w:rsidRDefault="005A15CE" w:rsidP="00DC48D1">
            <w:pPr>
              <w:pStyle w:val="NoSpacing"/>
              <w:jc w:val="both"/>
              <w:rPr>
                <w:sz w:val="16"/>
                <w:szCs w:val="16"/>
              </w:rPr>
            </w:pPr>
            <w:r w:rsidRPr="00DC48D1">
              <w:rPr>
                <w:sz w:val="16"/>
                <w:szCs w:val="16"/>
              </w:rPr>
              <w:tab/>
            </w:r>
          </w:p>
        </w:tc>
      </w:tr>
    </w:tbl>
    <w:p w:rsidR="00234FB9" w:rsidRPr="004760D2" w:rsidRDefault="005A15CE" w:rsidP="00DC48D1">
      <w:pPr>
        <w:spacing w:after="0"/>
        <w:jc w:val="both"/>
        <w:rPr>
          <w:rFonts w:ascii="Arial" w:hAnsi="Arial" w:cs="Arial"/>
          <w:b/>
          <w:sz w:val="20"/>
          <w:szCs w:val="20"/>
        </w:rPr>
      </w:pPr>
      <w:r w:rsidRPr="004760D2">
        <w:rPr>
          <w:rFonts w:ascii="Arial" w:hAnsi="Arial" w:cs="Arial"/>
          <w:b/>
          <w:sz w:val="20"/>
          <w:szCs w:val="20"/>
        </w:rPr>
        <w:t>Wider Community Benefits</w:t>
      </w:r>
    </w:p>
    <w:tbl>
      <w:tblPr>
        <w:tblStyle w:val="TableGrid"/>
        <w:tblW w:w="0" w:type="auto"/>
        <w:tblLook w:val="04A0" w:firstRow="1" w:lastRow="0" w:firstColumn="1" w:lastColumn="0" w:noHBand="0" w:noVBand="1"/>
      </w:tblPr>
      <w:tblGrid>
        <w:gridCol w:w="6799"/>
        <w:gridCol w:w="851"/>
        <w:gridCol w:w="1366"/>
      </w:tblGrid>
      <w:tr w:rsidR="00DE5F58" w:rsidTr="00DC48D1">
        <w:tc>
          <w:tcPr>
            <w:tcW w:w="6799" w:type="dxa"/>
          </w:tcPr>
          <w:p w:rsidR="00234FB9" w:rsidRPr="00DC48D1" w:rsidRDefault="005A15CE" w:rsidP="00DC48D1">
            <w:pPr>
              <w:pStyle w:val="NoSpacing"/>
              <w:jc w:val="both"/>
              <w:rPr>
                <w:b/>
                <w:sz w:val="16"/>
                <w:szCs w:val="16"/>
              </w:rPr>
            </w:pPr>
            <w:r w:rsidRPr="00DC48D1">
              <w:rPr>
                <w:b/>
                <w:sz w:val="16"/>
                <w:szCs w:val="16"/>
              </w:rPr>
              <w:t>Metric</w:t>
            </w:r>
          </w:p>
        </w:tc>
        <w:tc>
          <w:tcPr>
            <w:tcW w:w="851" w:type="dxa"/>
          </w:tcPr>
          <w:p w:rsidR="00234FB9" w:rsidRPr="00DC48D1" w:rsidRDefault="005A15CE" w:rsidP="00DC48D1">
            <w:pPr>
              <w:pStyle w:val="NoSpacing"/>
              <w:jc w:val="both"/>
              <w:rPr>
                <w:b/>
                <w:sz w:val="16"/>
                <w:szCs w:val="16"/>
              </w:rPr>
            </w:pPr>
            <w:r w:rsidRPr="00DC48D1">
              <w:rPr>
                <w:b/>
                <w:sz w:val="16"/>
                <w:szCs w:val="16"/>
              </w:rPr>
              <w:t>To date</w:t>
            </w:r>
          </w:p>
        </w:tc>
        <w:tc>
          <w:tcPr>
            <w:tcW w:w="1366" w:type="dxa"/>
          </w:tcPr>
          <w:p w:rsidR="00234FB9" w:rsidRPr="00DC48D1" w:rsidRDefault="005A15CE" w:rsidP="00DC48D1">
            <w:pPr>
              <w:pStyle w:val="NoSpacing"/>
              <w:jc w:val="both"/>
              <w:rPr>
                <w:b/>
                <w:sz w:val="16"/>
                <w:szCs w:val="16"/>
              </w:rPr>
            </w:pPr>
            <w:r w:rsidRPr="00DC48D1">
              <w:rPr>
                <w:b/>
                <w:sz w:val="16"/>
                <w:szCs w:val="16"/>
              </w:rPr>
              <w:t>Indicative Social Value</w:t>
            </w:r>
          </w:p>
        </w:tc>
      </w:tr>
      <w:tr w:rsidR="00DE5F58" w:rsidTr="00DC48D1">
        <w:tc>
          <w:tcPr>
            <w:tcW w:w="6799" w:type="dxa"/>
          </w:tcPr>
          <w:p w:rsidR="00234FB9" w:rsidRPr="00DC48D1" w:rsidRDefault="005A15CE" w:rsidP="00DC48D1">
            <w:pPr>
              <w:pStyle w:val="NoSpacing"/>
              <w:jc w:val="both"/>
              <w:rPr>
                <w:sz w:val="16"/>
                <w:szCs w:val="16"/>
              </w:rPr>
            </w:pPr>
            <w:r w:rsidRPr="00DC48D1">
              <w:rPr>
                <w:sz w:val="16"/>
                <w:szCs w:val="16"/>
              </w:rPr>
              <w:t>Community based projects driven by the local communities in which the project is based.</w:t>
            </w:r>
          </w:p>
        </w:tc>
        <w:tc>
          <w:tcPr>
            <w:tcW w:w="851" w:type="dxa"/>
          </w:tcPr>
          <w:p w:rsidR="00234FB9" w:rsidRPr="00DC48D1" w:rsidRDefault="005A15CE" w:rsidP="00DC48D1">
            <w:pPr>
              <w:pStyle w:val="NoSpacing"/>
              <w:jc w:val="both"/>
              <w:rPr>
                <w:sz w:val="16"/>
                <w:szCs w:val="16"/>
              </w:rPr>
            </w:pPr>
            <w:r w:rsidRPr="00DC48D1">
              <w:rPr>
                <w:sz w:val="16"/>
                <w:szCs w:val="16"/>
              </w:rPr>
              <w:t>116</w:t>
            </w:r>
          </w:p>
        </w:tc>
        <w:tc>
          <w:tcPr>
            <w:tcW w:w="1366" w:type="dxa"/>
          </w:tcPr>
          <w:p w:rsidR="00234FB9" w:rsidRPr="00DC48D1" w:rsidRDefault="005A15CE" w:rsidP="00DC48D1">
            <w:pPr>
              <w:pStyle w:val="NoSpacing"/>
              <w:jc w:val="both"/>
              <w:rPr>
                <w:sz w:val="16"/>
                <w:szCs w:val="16"/>
              </w:rPr>
            </w:pPr>
            <w:r w:rsidRPr="00DC48D1">
              <w:rPr>
                <w:sz w:val="16"/>
                <w:szCs w:val="16"/>
              </w:rPr>
              <w:t>£12,017.60</w:t>
            </w:r>
          </w:p>
        </w:tc>
      </w:tr>
      <w:tr w:rsidR="00DE5F58" w:rsidTr="00DC48D1">
        <w:tc>
          <w:tcPr>
            <w:tcW w:w="6799" w:type="dxa"/>
          </w:tcPr>
          <w:p w:rsidR="00234FB9" w:rsidRPr="00DC48D1" w:rsidRDefault="005A15CE" w:rsidP="00DC48D1">
            <w:pPr>
              <w:pStyle w:val="NoSpacing"/>
              <w:jc w:val="both"/>
              <w:rPr>
                <w:sz w:val="16"/>
                <w:szCs w:val="16"/>
              </w:rPr>
            </w:pPr>
            <w:r w:rsidRPr="00DC48D1">
              <w:rPr>
                <w:sz w:val="16"/>
                <w:szCs w:val="16"/>
              </w:rPr>
              <w:t>Procurement of local</w:t>
            </w:r>
            <w:r w:rsidRPr="00DC48D1">
              <w:rPr>
                <w:sz w:val="16"/>
                <w:szCs w:val="16"/>
              </w:rPr>
              <w:t xml:space="preserve"> Lancashire based supply chain through the contract (limited project level data available)</w:t>
            </w:r>
          </w:p>
        </w:tc>
        <w:tc>
          <w:tcPr>
            <w:tcW w:w="851" w:type="dxa"/>
          </w:tcPr>
          <w:p w:rsidR="00234FB9" w:rsidRPr="00DC48D1" w:rsidRDefault="005A15CE" w:rsidP="00DC48D1">
            <w:pPr>
              <w:pStyle w:val="NoSpacing"/>
              <w:jc w:val="both"/>
              <w:rPr>
                <w:sz w:val="16"/>
                <w:szCs w:val="16"/>
              </w:rPr>
            </w:pPr>
          </w:p>
        </w:tc>
        <w:tc>
          <w:tcPr>
            <w:tcW w:w="1366" w:type="dxa"/>
          </w:tcPr>
          <w:p w:rsidR="00234FB9" w:rsidRPr="00DC48D1" w:rsidRDefault="005A15CE" w:rsidP="00DC48D1">
            <w:pPr>
              <w:pStyle w:val="NoSpacing"/>
              <w:jc w:val="both"/>
              <w:rPr>
                <w:sz w:val="16"/>
                <w:szCs w:val="16"/>
              </w:rPr>
            </w:pPr>
            <w:r w:rsidRPr="00DC48D1">
              <w:rPr>
                <w:sz w:val="16"/>
                <w:szCs w:val="16"/>
              </w:rPr>
              <w:t>£8,411,670.95</w:t>
            </w:r>
          </w:p>
        </w:tc>
      </w:tr>
      <w:tr w:rsidR="00DE5F58" w:rsidTr="00DC48D1">
        <w:tc>
          <w:tcPr>
            <w:tcW w:w="6799" w:type="dxa"/>
          </w:tcPr>
          <w:p w:rsidR="00234FB9" w:rsidRPr="00DC48D1" w:rsidRDefault="005A15CE" w:rsidP="00DC48D1">
            <w:pPr>
              <w:pStyle w:val="NoSpacing"/>
              <w:jc w:val="both"/>
              <w:rPr>
                <w:sz w:val="16"/>
                <w:szCs w:val="16"/>
              </w:rPr>
            </w:pPr>
            <w:r w:rsidRPr="00DC48D1">
              <w:rPr>
                <w:sz w:val="16"/>
                <w:szCs w:val="16"/>
              </w:rPr>
              <w:t>Procurement and commissioning of local SMEs and social enterprises / third sector organisations (limited project level data available)</w:t>
            </w:r>
          </w:p>
        </w:tc>
        <w:tc>
          <w:tcPr>
            <w:tcW w:w="851" w:type="dxa"/>
          </w:tcPr>
          <w:p w:rsidR="00234FB9" w:rsidRPr="00DC48D1" w:rsidRDefault="005A15CE" w:rsidP="00DC48D1">
            <w:pPr>
              <w:pStyle w:val="NoSpacing"/>
              <w:jc w:val="both"/>
              <w:rPr>
                <w:sz w:val="16"/>
                <w:szCs w:val="16"/>
              </w:rPr>
            </w:pPr>
          </w:p>
        </w:tc>
        <w:tc>
          <w:tcPr>
            <w:tcW w:w="1366" w:type="dxa"/>
          </w:tcPr>
          <w:p w:rsidR="00234FB9" w:rsidRPr="00DC48D1" w:rsidRDefault="005A15CE" w:rsidP="00DC48D1">
            <w:pPr>
              <w:pStyle w:val="NoSpacing"/>
              <w:jc w:val="both"/>
              <w:rPr>
                <w:sz w:val="16"/>
                <w:szCs w:val="16"/>
              </w:rPr>
            </w:pPr>
            <w:r w:rsidRPr="00DC48D1">
              <w:rPr>
                <w:sz w:val="16"/>
                <w:szCs w:val="16"/>
              </w:rPr>
              <w:t>£2,763,315.95</w:t>
            </w:r>
          </w:p>
        </w:tc>
      </w:tr>
    </w:tbl>
    <w:p w:rsidR="004F2FBE" w:rsidRPr="00DC48D1" w:rsidRDefault="005A15CE" w:rsidP="00DC48D1">
      <w:pPr>
        <w:jc w:val="both"/>
        <w:rPr>
          <w:rFonts w:ascii="Arial" w:eastAsia="MS PGothic" w:hAnsi="Arial" w:cs="Arial"/>
          <w:color w:val="000000" w:themeColor="text1"/>
          <w:kern w:val="24"/>
        </w:rPr>
      </w:pPr>
      <w:r w:rsidRPr="00DC48D1">
        <w:rPr>
          <w:rFonts w:ascii="Arial" w:eastAsia="MS PGothic" w:hAnsi="Arial" w:cs="Arial"/>
          <w:color w:val="000000" w:themeColor="text1"/>
          <w:kern w:val="24"/>
        </w:rPr>
        <w:lastRenderedPageBreak/>
        <w:t>Social value performance are monitored across the Growth Deal projects with reports due to be submitted to the Growth Deal Management Board in the autumn of this year.</w:t>
      </w:r>
    </w:p>
    <w:p w:rsidR="004F2FBE" w:rsidRPr="00DC48D1" w:rsidRDefault="005A15CE" w:rsidP="00DC48D1">
      <w:pPr>
        <w:jc w:val="both"/>
        <w:rPr>
          <w:rFonts w:ascii="Arial" w:hAnsi="Arial" w:cs="Arial"/>
          <w:u w:val="single"/>
        </w:rPr>
      </w:pPr>
      <w:r w:rsidRPr="00DC48D1">
        <w:rPr>
          <w:rFonts w:ascii="Arial" w:hAnsi="Arial" w:cs="Arial"/>
          <w:u w:val="single"/>
        </w:rPr>
        <w:t>City Deal Social Value</w:t>
      </w:r>
    </w:p>
    <w:p w:rsidR="00680306" w:rsidRPr="00DC48D1" w:rsidRDefault="005A15CE" w:rsidP="00DC48D1">
      <w:pPr>
        <w:jc w:val="both"/>
        <w:rPr>
          <w:rFonts w:ascii="Arial" w:hAnsi="Arial" w:cs="Arial"/>
        </w:rPr>
      </w:pPr>
      <w:r w:rsidRPr="00DC48D1">
        <w:rPr>
          <w:rFonts w:ascii="Arial" w:hAnsi="Arial" w:cs="Arial"/>
          <w:bCs/>
        </w:rPr>
        <w:t>The adoption of the 'The Central Lancashire Employment and Skil</w:t>
      </w:r>
      <w:r w:rsidRPr="00DC48D1">
        <w:rPr>
          <w:rFonts w:ascii="Arial" w:hAnsi="Arial" w:cs="Arial"/>
          <w:bCs/>
        </w:rPr>
        <w:t>ls Supplementary Planning Document' (SPD) is embedded within a number of projects and developments across the Central Lancashire footprint.</w:t>
      </w:r>
    </w:p>
    <w:p w:rsidR="008D00AB" w:rsidRPr="00DC48D1" w:rsidRDefault="005A15CE" w:rsidP="00DC48D1">
      <w:pPr>
        <w:jc w:val="both"/>
        <w:rPr>
          <w:rFonts w:ascii="Arial" w:hAnsi="Arial" w:cs="Arial"/>
        </w:rPr>
      </w:pPr>
      <w:r w:rsidRPr="00DC48D1">
        <w:rPr>
          <w:rFonts w:ascii="Arial" w:hAnsi="Arial" w:cs="Arial"/>
        </w:rPr>
        <w:t>Across the City Deal programme this approach has generated some positive results at individual project level includi</w:t>
      </w:r>
      <w:r w:rsidRPr="00DC48D1">
        <w:rPr>
          <w:rFonts w:ascii="Arial" w:hAnsi="Arial" w:cs="Arial"/>
        </w:rPr>
        <w:t>ng the recently completed Penwortham Bypass which on completion of the construction phase the project has generated a total of £4,907,525.38 of added social value through local employment, training and procurement activity.</w:t>
      </w:r>
    </w:p>
    <w:p w:rsidR="00680306" w:rsidRPr="00DC48D1" w:rsidRDefault="005A15CE" w:rsidP="00DC48D1">
      <w:pPr>
        <w:jc w:val="both"/>
        <w:rPr>
          <w:rFonts w:ascii="Arial" w:hAnsi="Arial" w:cs="Arial"/>
        </w:rPr>
      </w:pPr>
      <w:r w:rsidRPr="00DC48D1">
        <w:rPr>
          <w:rFonts w:ascii="Arial" w:hAnsi="Arial" w:cs="Arial"/>
        </w:rPr>
        <w:t>Some of the key achievements del</w:t>
      </w:r>
      <w:r w:rsidRPr="00DC48D1">
        <w:rPr>
          <w:rFonts w:ascii="Arial" w:hAnsi="Arial" w:cs="Arial"/>
        </w:rPr>
        <w:t>ivered by Lancashire County Council and their</w:t>
      </w:r>
      <w:r>
        <w:rPr>
          <w:rFonts w:ascii="Arial" w:hAnsi="Arial" w:cs="Arial"/>
        </w:rPr>
        <w:t xml:space="preserve"> </w:t>
      </w:r>
      <w:r w:rsidRPr="00DC48D1">
        <w:rPr>
          <w:rFonts w:ascii="Arial" w:hAnsi="Arial" w:cs="Arial"/>
        </w:rPr>
        <w:t>supply chain partners during the construction phase include:</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95% local labour utilisation</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 xml:space="preserve">35 Employment opportunities (Full Time Equivalent) provided for local residents as a direct result of contract award </w:t>
      </w:r>
      <w:r w:rsidRPr="00DC48D1">
        <w:rPr>
          <w:rFonts w:ascii="Arial" w:hAnsi="Arial" w:cs="Arial"/>
          <w:sz w:val="22"/>
          <w:szCs w:val="22"/>
        </w:rPr>
        <w:t>with a social value of £1,014,870</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156 weeks of apprenticeships on the contract at Level 2,3 or 4+ with a social value of £26,214</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 xml:space="preserve">104 weeks of professional development at HND and post graduate level with a social value of £24,518.  </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A total of £ £3,797,295.</w:t>
      </w:r>
      <w:r w:rsidRPr="00DC48D1">
        <w:rPr>
          <w:rFonts w:ascii="Arial" w:hAnsi="Arial" w:cs="Arial"/>
          <w:sz w:val="22"/>
          <w:szCs w:val="22"/>
        </w:rPr>
        <w:t>72 was spent with local Lancashire based businesses</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Of which £ £2,422,295.72 was spent with local SME's</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240 hours of sessions to support employability skills, STEM activity and site visits for local schools and colleges with a social value of £22,627.20</w:t>
      </w:r>
    </w:p>
    <w:p w:rsidR="00680306" w:rsidRPr="00DC48D1" w:rsidRDefault="005A15CE" w:rsidP="00F75A9C">
      <w:pPr>
        <w:pStyle w:val="ListParagraph"/>
        <w:numPr>
          <w:ilvl w:val="0"/>
          <w:numId w:val="6"/>
        </w:numPr>
        <w:ind w:left="360"/>
        <w:jc w:val="both"/>
        <w:rPr>
          <w:rFonts w:ascii="Arial" w:hAnsi="Arial" w:cs="Arial"/>
          <w:sz w:val="22"/>
          <w:szCs w:val="22"/>
        </w:rPr>
      </w:pPr>
      <w:r w:rsidRPr="00DC48D1">
        <w:rPr>
          <w:rFonts w:ascii="Arial" w:hAnsi="Arial" w:cs="Arial"/>
          <w:sz w:val="22"/>
          <w:szCs w:val="22"/>
        </w:rPr>
        <w:t>Raised in excess of £22,000 to support community based projects and charitable causes.</w:t>
      </w:r>
    </w:p>
    <w:p w:rsidR="004760D2" w:rsidRPr="004760D2" w:rsidRDefault="005A15CE" w:rsidP="004760D2">
      <w:pPr>
        <w:rPr>
          <w:rFonts w:ascii="Arial" w:hAnsi="Arial" w:cs="Arial"/>
        </w:rPr>
      </w:pPr>
    </w:p>
    <w:p w:rsidR="00680306" w:rsidRPr="00DC48D1" w:rsidRDefault="005A15CE" w:rsidP="004760D2">
      <w:pPr>
        <w:jc w:val="both"/>
        <w:rPr>
          <w:rFonts w:ascii="Arial" w:hAnsi="Arial" w:cs="Arial"/>
        </w:rPr>
      </w:pPr>
      <w:r w:rsidRPr="00DC48D1">
        <w:rPr>
          <w:rFonts w:ascii="Arial" w:hAnsi="Arial" w:cs="Arial"/>
          <w:bCs/>
        </w:rPr>
        <w:t>The Skills Hub are currently working with Procure Plus on the CITB's Construction Skills Fund, which provides funding for training for new entrants/returners to the sec</w:t>
      </w:r>
      <w:r w:rsidRPr="00DC48D1">
        <w:rPr>
          <w:rFonts w:ascii="Arial" w:hAnsi="Arial" w:cs="Arial"/>
          <w:bCs/>
        </w:rPr>
        <w:t>tor, to identify suitable City Deal projects in a position to support this target group.</w:t>
      </w:r>
    </w:p>
    <w:p w:rsidR="004F2FBE" w:rsidRPr="00DC48D1" w:rsidRDefault="005A15CE" w:rsidP="004760D2">
      <w:pPr>
        <w:jc w:val="both"/>
        <w:rPr>
          <w:rFonts w:ascii="Arial" w:hAnsi="Arial" w:cs="Arial"/>
          <w:u w:val="single"/>
        </w:rPr>
      </w:pPr>
      <w:r w:rsidRPr="00DC48D1">
        <w:rPr>
          <w:rFonts w:ascii="Arial" w:hAnsi="Arial" w:cs="Arial"/>
          <w:u w:val="single"/>
        </w:rPr>
        <w:t xml:space="preserve">Wider LEP Programme Social Value  </w:t>
      </w:r>
    </w:p>
    <w:p w:rsidR="00B432C5" w:rsidRPr="00DC48D1" w:rsidRDefault="005A15CE" w:rsidP="004760D2">
      <w:pPr>
        <w:jc w:val="both"/>
        <w:rPr>
          <w:rFonts w:ascii="Arial" w:hAnsi="Arial" w:cs="Arial"/>
        </w:rPr>
      </w:pPr>
      <w:r w:rsidRPr="00DC48D1">
        <w:rPr>
          <w:rFonts w:ascii="Arial" w:hAnsi="Arial" w:cs="Arial"/>
        </w:rPr>
        <w:t>As previously outlined, the embedding of social value requirements within the service specifications for Boost has also generated so</w:t>
      </w:r>
      <w:r w:rsidRPr="00DC48D1">
        <w:rPr>
          <w:rFonts w:ascii="Arial" w:hAnsi="Arial" w:cs="Arial"/>
        </w:rPr>
        <w:t>me very positive results. In the first year of adoption (2019), the framework has generated £511,503.00 of added social value from a total contract value of £1.58 million. Social value will continue to be monitored as the programme moves forward.</w:t>
      </w:r>
    </w:p>
    <w:p w:rsidR="00D070EB" w:rsidRPr="00DC48D1" w:rsidRDefault="005A15CE" w:rsidP="004760D2">
      <w:pPr>
        <w:jc w:val="both"/>
        <w:rPr>
          <w:rFonts w:ascii="Arial" w:eastAsia="MS PGothic" w:hAnsi="Arial" w:cs="Arial"/>
          <w:color w:val="000000" w:themeColor="text1"/>
          <w:kern w:val="24"/>
        </w:rPr>
      </w:pPr>
      <w:r w:rsidRPr="00DC48D1">
        <w:rPr>
          <w:rFonts w:ascii="Arial" w:eastAsia="MS PGothic" w:hAnsi="Arial" w:cs="Arial"/>
          <w:color w:val="000000" w:themeColor="text1"/>
          <w:kern w:val="24"/>
        </w:rPr>
        <w:t>This appr</w:t>
      </w:r>
      <w:r w:rsidRPr="00DC48D1">
        <w:rPr>
          <w:rFonts w:ascii="Arial" w:eastAsia="MS PGothic" w:hAnsi="Arial" w:cs="Arial"/>
          <w:color w:val="000000" w:themeColor="text1"/>
          <w:kern w:val="24"/>
        </w:rPr>
        <w:t>oach will be adopted for the projects selected for the recently announced 'Getting Building Better Fund' for 'shovel ready' projects. The Lancashire LEP has been allocated £34.1m from the GBF for a wide-ranging package of projects that will deliver a much-</w:t>
      </w:r>
      <w:r w:rsidRPr="00DC48D1">
        <w:rPr>
          <w:rFonts w:ascii="Arial" w:eastAsia="MS PGothic" w:hAnsi="Arial" w:cs="Arial"/>
          <w:color w:val="000000" w:themeColor="text1"/>
          <w:kern w:val="24"/>
        </w:rPr>
        <w:t xml:space="preserve">needed boost to the local economy. The Skills Hub will be working with these projects as the business cases are developed to scope opportunities for social value to be delivered throughout the works and operational phases of the selected projects with key </w:t>
      </w:r>
      <w:r w:rsidRPr="00DC48D1">
        <w:rPr>
          <w:rFonts w:ascii="Arial" w:eastAsia="MS PGothic" w:hAnsi="Arial" w:cs="Arial"/>
          <w:color w:val="000000" w:themeColor="text1"/>
          <w:kern w:val="24"/>
        </w:rPr>
        <w:t>deliverables set out in the project funding agreements.</w:t>
      </w:r>
    </w:p>
    <w:p w:rsidR="00DC48D1" w:rsidRDefault="005A15CE" w:rsidP="004760D2">
      <w:pPr>
        <w:jc w:val="both"/>
        <w:rPr>
          <w:rFonts w:ascii="Arial" w:hAnsi="Arial" w:cs="Arial"/>
        </w:rPr>
      </w:pPr>
      <w:r w:rsidRPr="00DC48D1">
        <w:rPr>
          <w:rFonts w:ascii="Arial" w:hAnsi="Arial" w:cs="Arial"/>
        </w:rPr>
        <w:t>The Skills Hub are currently working with Lancashire Digital Skills Partnership and GMCA to ensure that appropriate social value clauses and targets are embedded within the tender and contracting proc</w:t>
      </w:r>
      <w:r w:rsidRPr="00DC48D1">
        <w:rPr>
          <w:rFonts w:ascii="Arial" w:hAnsi="Arial" w:cs="Arial"/>
        </w:rPr>
        <w:t>ess for the forthcoming round of Digital Fast Track funded by the DFE.</w:t>
      </w:r>
    </w:p>
    <w:p w:rsidR="00053C69" w:rsidRPr="00DC48D1" w:rsidRDefault="005A15CE" w:rsidP="004760D2">
      <w:pPr>
        <w:jc w:val="both"/>
        <w:rPr>
          <w:rFonts w:ascii="Arial" w:hAnsi="Arial" w:cs="Arial"/>
        </w:rPr>
      </w:pPr>
      <w:r>
        <w:rPr>
          <w:rFonts w:ascii="Arial" w:hAnsi="Arial" w:cs="Arial"/>
        </w:rPr>
        <w:t xml:space="preserve">The data included within this report is to 2018/19, with 2019/20 data to be reported December 2020 LEP Board meeting. </w:t>
      </w:r>
    </w:p>
    <w:sectPr w:rsidR="00053C69" w:rsidRPr="00DC48D1" w:rsidSect="00DC48D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180"/>
    <w:multiLevelType w:val="hybridMultilevel"/>
    <w:tmpl w:val="6648321C"/>
    <w:lvl w:ilvl="0" w:tplc="99C0DB44">
      <w:start w:val="1"/>
      <w:numFmt w:val="bullet"/>
      <w:lvlText w:val="•"/>
      <w:lvlJc w:val="left"/>
      <w:pPr>
        <w:tabs>
          <w:tab w:val="num" w:pos="720"/>
        </w:tabs>
        <w:ind w:left="720" w:hanging="360"/>
      </w:pPr>
      <w:rPr>
        <w:rFonts w:ascii="Arial" w:hAnsi="Arial" w:hint="default"/>
      </w:rPr>
    </w:lvl>
    <w:lvl w:ilvl="1" w:tplc="4DA8AB3C">
      <w:start w:val="1"/>
      <w:numFmt w:val="bullet"/>
      <w:lvlText w:val="•"/>
      <w:lvlJc w:val="left"/>
      <w:pPr>
        <w:tabs>
          <w:tab w:val="num" w:pos="1440"/>
        </w:tabs>
        <w:ind w:left="1440" w:hanging="360"/>
      </w:pPr>
      <w:rPr>
        <w:rFonts w:ascii="Arial" w:hAnsi="Arial" w:hint="default"/>
      </w:rPr>
    </w:lvl>
    <w:lvl w:ilvl="2" w:tplc="AA7A888A" w:tentative="1">
      <w:start w:val="1"/>
      <w:numFmt w:val="bullet"/>
      <w:lvlText w:val="•"/>
      <w:lvlJc w:val="left"/>
      <w:pPr>
        <w:tabs>
          <w:tab w:val="num" w:pos="2160"/>
        </w:tabs>
        <w:ind w:left="2160" w:hanging="360"/>
      </w:pPr>
      <w:rPr>
        <w:rFonts w:ascii="Arial" w:hAnsi="Arial" w:hint="default"/>
      </w:rPr>
    </w:lvl>
    <w:lvl w:ilvl="3" w:tplc="A8E63196" w:tentative="1">
      <w:start w:val="1"/>
      <w:numFmt w:val="bullet"/>
      <w:lvlText w:val="•"/>
      <w:lvlJc w:val="left"/>
      <w:pPr>
        <w:tabs>
          <w:tab w:val="num" w:pos="2880"/>
        </w:tabs>
        <w:ind w:left="2880" w:hanging="360"/>
      </w:pPr>
      <w:rPr>
        <w:rFonts w:ascii="Arial" w:hAnsi="Arial" w:hint="default"/>
      </w:rPr>
    </w:lvl>
    <w:lvl w:ilvl="4" w:tplc="D74E7E8E" w:tentative="1">
      <w:start w:val="1"/>
      <w:numFmt w:val="bullet"/>
      <w:lvlText w:val="•"/>
      <w:lvlJc w:val="left"/>
      <w:pPr>
        <w:tabs>
          <w:tab w:val="num" w:pos="3600"/>
        </w:tabs>
        <w:ind w:left="3600" w:hanging="360"/>
      </w:pPr>
      <w:rPr>
        <w:rFonts w:ascii="Arial" w:hAnsi="Arial" w:hint="default"/>
      </w:rPr>
    </w:lvl>
    <w:lvl w:ilvl="5" w:tplc="A8E00AB0" w:tentative="1">
      <w:start w:val="1"/>
      <w:numFmt w:val="bullet"/>
      <w:lvlText w:val="•"/>
      <w:lvlJc w:val="left"/>
      <w:pPr>
        <w:tabs>
          <w:tab w:val="num" w:pos="4320"/>
        </w:tabs>
        <w:ind w:left="4320" w:hanging="360"/>
      </w:pPr>
      <w:rPr>
        <w:rFonts w:ascii="Arial" w:hAnsi="Arial" w:hint="default"/>
      </w:rPr>
    </w:lvl>
    <w:lvl w:ilvl="6" w:tplc="801C38AC" w:tentative="1">
      <w:start w:val="1"/>
      <w:numFmt w:val="bullet"/>
      <w:lvlText w:val="•"/>
      <w:lvlJc w:val="left"/>
      <w:pPr>
        <w:tabs>
          <w:tab w:val="num" w:pos="5040"/>
        </w:tabs>
        <w:ind w:left="5040" w:hanging="360"/>
      </w:pPr>
      <w:rPr>
        <w:rFonts w:ascii="Arial" w:hAnsi="Arial" w:hint="default"/>
      </w:rPr>
    </w:lvl>
    <w:lvl w:ilvl="7" w:tplc="A11AD5D2" w:tentative="1">
      <w:start w:val="1"/>
      <w:numFmt w:val="bullet"/>
      <w:lvlText w:val="•"/>
      <w:lvlJc w:val="left"/>
      <w:pPr>
        <w:tabs>
          <w:tab w:val="num" w:pos="5760"/>
        </w:tabs>
        <w:ind w:left="5760" w:hanging="360"/>
      </w:pPr>
      <w:rPr>
        <w:rFonts w:ascii="Arial" w:hAnsi="Arial" w:hint="default"/>
      </w:rPr>
    </w:lvl>
    <w:lvl w:ilvl="8" w:tplc="62BAE0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A06BAA"/>
    <w:multiLevelType w:val="hybridMultilevel"/>
    <w:tmpl w:val="6AC0A2E4"/>
    <w:lvl w:ilvl="0" w:tplc="78AE22A2">
      <w:start w:val="1"/>
      <w:numFmt w:val="bullet"/>
      <w:lvlText w:val="•"/>
      <w:lvlJc w:val="left"/>
      <w:pPr>
        <w:tabs>
          <w:tab w:val="num" w:pos="720"/>
        </w:tabs>
        <w:ind w:left="720" w:hanging="360"/>
      </w:pPr>
      <w:rPr>
        <w:rFonts w:ascii="Arial" w:hAnsi="Arial" w:hint="default"/>
      </w:rPr>
    </w:lvl>
    <w:lvl w:ilvl="1" w:tplc="FE2EBB9A">
      <w:start w:val="1"/>
      <w:numFmt w:val="bullet"/>
      <w:lvlText w:val="•"/>
      <w:lvlJc w:val="left"/>
      <w:pPr>
        <w:tabs>
          <w:tab w:val="num" w:pos="1440"/>
        </w:tabs>
        <w:ind w:left="1440" w:hanging="360"/>
      </w:pPr>
      <w:rPr>
        <w:rFonts w:ascii="Arial" w:hAnsi="Arial" w:hint="default"/>
      </w:rPr>
    </w:lvl>
    <w:lvl w:ilvl="2" w:tplc="AA0AED14" w:tentative="1">
      <w:start w:val="1"/>
      <w:numFmt w:val="bullet"/>
      <w:lvlText w:val="•"/>
      <w:lvlJc w:val="left"/>
      <w:pPr>
        <w:tabs>
          <w:tab w:val="num" w:pos="2160"/>
        </w:tabs>
        <w:ind w:left="2160" w:hanging="360"/>
      </w:pPr>
      <w:rPr>
        <w:rFonts w:ascii="Arial" w:hAnsi="Arial" w:hint="default"/>
      </w:rPr>
    </w:lvl>
    <w:lvl w:ilvl="3" w:tplc="CD282EF8" w:tentative="1">
      <w:start w:val="1"/>
      <w:numFmt w:val="bullet"/>
      <w:lvlText w:val="•"/>
      <w:lvlJc w:val="left"/>
      <w:pPr>
        <w:tabs>
          <w:tab w:val="num" w:pos="2880"/>
        </w:tabs>
        <w:ind w:left="2880" w:hanging="360"/>
      </w:pPr>
      <w:rPr>
        <w:rFonts w:ascii="Arial" w:hAnsi="Arial" w:hint="default"/>
      </w:rPr>
    </w:lvl>
    <w:lvl w:ilvl="4" w:tplc="64E06774" w:tentative="1">
      <w:start w:val="1"/>
      <w:numFmt w:val="bullet"/>
      <w:lvlText w:val="•"/>
      <w:lvlJc w:val="left"/>
      <w:pPr>
        <w:tabs>
          <w:tab w:val="num" w:pos="3600"/>
        </w:tabs>
        <w:ind w:left="3600" w:hanging="360"/>
      </w:pPr>
      <w:rPr>
        <w:rFonts w:ascii="Arial" w:hAnsi="Arial" w:hint="default"/>
      </w:rPr>
    </w:lvl>
    <w:lvl w:ilvl="5" w:tplc="523EACE8" w:tentative="1">
      <w:start w:val="1"/>
      <w:numFmt w:val="bullet"/>
      <w:lvlText w:val="•"/>
      <w:lvlJc w:val="left"/>
      <w:pPr>
        <w:tabs>
          <w:tab w:val="num" w:pos="4320"/>
        </w:tabs>
        <w:ind w:left="4320" w:hanging="360"/>
      </w:pPr>
      <w:rPr>
        <w:rFonts w:ascii="Arial" w:hAnsi="Arial" w:hint="default"/>
      </w:rPr>
    </w:lvl>
    <w:lvl w:ilvl="6" w:tplc="EA64A620" w:tentative="1">
      <w:start w:val="1"/>
      <w:numFmt w:val="bullet"/>
      <w:lvlText w:val="•"/>
      <w:lvlJc w:val="left"/>
      <w:pPr>
        <w:tabs>
          <w:tab w:val="num" w:pos="5040"/>
        </w:tabs>
        <w:ind w:left="5040" w:hanging="360"/>
      </w:pPr>
      <w:rPr>
        <w:rFonts w:ascii="Arial" w:hAnsi="Arial" w:hint="default"/>
      </w:rPr>
    </w:lvl>
    <w:lvl w:ilvl="7" w:tplc="92E84CA6" w:tentative="1">
      <w:start w:val="1"/>
      <w:numFmt w:val="bullet"/>
      <w:lvlText w:val="•"/>
      <w:lvlJc w:val="left"/>
      <w:pPr>
        <w:tabs>
          <w:tab w:val="num" w:pos="5760"/>
        </w:tabs>
        <w:ind w:left="5760" w:hanging="360"/>
      </w:pPr>
      <w:rPr>
        <w:rFonts w:ascii="Arial" w:hAnsi="Arial" w:hint="default"/>
      </w:rPr>
    </w:lvl>
    <w:lvl w:ilvl="8" w:tplc="F7B681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701553"/>
    <w:multiLevelType w:val="hybridMultilevel"/>
    <w:tmpl w:val="8FAE7FC0"/>
    <w:lvl w:ilvl="0" w:tplc="7B886FEC">
      <w:start w:val="1"/>
      <w:numFmt w:val="bullet"/>
      <w:lvlText w:val=""/>
      <w:lvlJc w:val="left"/>
      <w:pPr>
        <w:ind w:left="1080" w:hanging="360"/>
      </w:pPr>
      <w:rPr>
        <w:rFonts w:ascii="Symbol" w:hAnsi="Symbol" w:hint="default"/>
      </w:rPr>
    </w:lvl>
    <w:lvl w:ilvl="1" w:tplc="0BB0C77C" w:tentative="1">
      <w:start w:val="1"/>
      <w:numFmt w:val="bullet"/>
      <w:lvlText w:val="o"/>
      <w:lvlJc w:val="left"/>
      <w:pPr>
        <w:ind w:left="1800" w:hanging="360"/>
      </w:pPr>
      <w:rPr>
        <w:rFonts w:ascii="Courier New" w:hAnsi="Courier New" w:cs="Courier New" w:hint="default"/>
      </w:rPr>
    </w:lvl>
    <w:lvl w:ilvl="2" w:tplc="860054DC" w:tentative="1">
      <w:start w:val="1"/>
      <w:numFmt w:val="bullet"/>
      <w:lvlText w:val=""/>
      <w:lvlJc w:val="left"/>
      <w:pPr>
        <w:ind w:left="2520" w:hanging="360"/>
      </w:pPr>
      <w:rPr>
        <w:rFonts w:ascii="Wingdings" w:hAnsi="Wingdings" w:hint="default"/>
      </w:rPr>
    </w:lvl>
    <w:lvl w:ilvl="3" w:tplc="1204A92E" w:tentative="1">
      <w:start w:val="1"/>
      <w:numFmt w:val="bullet"/>
      <w:lvlText w:val=""/>
      <w:lvlJc w:val="left"/>
      <w:pPr>
        <w:ind w:left="3240" w:hanging="360"/>
      </w:pPr>
      <w:rPr>
        <w:rFonts w:ascii="Symbol" w:hAnsi="Symbol" w:hint="default"/>
      </w:rPr>
    </w:lvl>
    <w:lvl w:ilvl="4" w:tplc="F432BA1C" w:tentative="1">
      <w:start w:val="1"/>
      <w:numFmt w:val="bullet"/>
      <w:lvlText w:val="o"/>
      <w:lvlJc w:val="left"/>
      <w:pPr>
        <w:ind w:left="3960" w:hanging="360"/>
      </w:pPr>
      <w:rPr>
        <w:rFonts w:ascii="Courier New" w:hAnsi="Courier New" w:cs="Courier New" w:hint="default"/>
      </w:rPr>
    </w:lvl>
    <w:lvl w:ilvl="5" w:tplc="47B8D778" w:tentative="1">
      <w:start w:val="1"/>
      <w:numFmt w:val="bullet"/>
      <w:lvlText w:val=""/>
      <w:lvlJc w:val="left"/>
      <w:pPr>
        <w:ind w:left="4680" w:hanging="360"/>
      </w:pPr>
      <w:rPr>
        <w:rFonts w:ascii="Wingdings" w:hAnsi="Wingdings" w:hint="default"/>
      </w:rPr>
    </w:lvl>
    <w:lvl w:ilvl="6" w:tplc="D6F4C5F4" w:tentative="1">
      <w:start w:val="1"/>
      <w:numFmt w:val="bullet"/>
      <w:lvlText w:val=""/>
      <w:lvlJc w:val="left"/>
      <w:pPr>
        <w:ind w:left="5400" w:hanging="360"/>
      </w:pPr>
      <w:rPr>
        <w:rFonts w:ascii="Symbol" w:hAnsi="Symbol" w:hint="default"/>
      </w:rPr>
    </w:lvl>
    <w:lvl w:ilvl="7" w:tplc="C7849324" w:tentative="1">
      <w:start w:val="1"/>
      <w:numFmt w:val="bullet"/>
      <w:lvlText w:val="o"/>
      <w:lvlJc w:val="left"/>
      <w:pPr>
        <w:ind w:left="6120" w:hanging="360"/>
      </w:pPr>
      <w:rPr>
        <w:rFonts w:ascii="Courier New" w:hAnsi="Courier New" w:cs="Courier New" w:hint="default"/>
      </w:rPr>
    </w:lvl>
    <w:lvl w:ilvl="8" w:tplc="6C24FCD0" w:tentative="1">
      <w:start w:val="1"/>
      <w:numFmt w:val="bullet"/>
      <w:lvlText w:val=""/>
      <w:lvlJc w:val="left"/>
      <w:pPr>
        <w:ind w:left="6840" w:hanging="360"/>
      </w:pPr>
      <w:rPr>
        <w:rFonts w:ascii="Wingdings" w:hAnsi="Wingdings" w:hint="default"/>
      </w:rPr>
    </w:lvl>
  </w:abstractNum>
  <w:abstractNum w:abstractNumId="3" w15:restartNumberingAfterBreak="0">
    <w:nsid w:val="78A7689A"/>
    <w:multiLevelType w:val="hybridMultilevel"/>
    <w:tmpl w:val="64A8EAC6"/>
    <w:lvl w:ilvl="0" w:tplc="55A2B27A">
      <w:start w:val="1"/>
      <w:numFmt w:val="bullet"/>
      <w:lvlText w:val="•"/>
      <w:lvlJc w:val="left"/>
      <w:pPr>
        <w:tabs>
          <w:tab w:val="num" w:pos="720"/>
        </w:tabs>
        <w:ind w:left="720" w:hanging="360"/>
      </w:pPr>
      <w:rPr>
        <w:rFonts w:ascii="Arial" w:hAnsi="Arial" w:hint="default"/>
      </w:rPr>
    </w:lvl>
    <w:lvl w:ilvl="1" w:tplc="9FF6405E">
      <w:start w:val="1"/>
      <w:numFmt w:val="bullet"/>
      <w:lvlText w:val="•"/>
      <w:lvlJc w:val="left"/>
      <w:pPr>
        <w:tabs>
          <w:tab w:val="num" w:pos="1440"/>
        </w:tabs>
        <w:ind w:left="1440" w:hanging="360"/>
      </w:pPr>
      <w:rPr>
        <w:rFonts w:ascii="Arial" w:hAnsi="Arial" w:hint="default"/>
      </w:rPr>
    </w:lvl>
    <w:lvl w:ilvl="2" w:tplc="AB08C5AC" w:tentative="1">
      <w:start w:val="1"/>
      <w:numFmt w:val="bullet"/>
      <w:lvlText w:val="•"/>
      <w:lvlJc w:val="left"/>
      <w:pPr>
        <w:tabs>
          <w:tab w:val="num" w:pos="2160"/>
        </w:tabs>
        <w:ind w:left="2160" w:hanging="360"/>
      </w:pPr>
      <w:rPr>
        <w:rFonts w:ascii="Arial" w:hAnsi="Arial" w:hint="default"/>
      </w:rPr>
    </w:lvl>
    <w:lvl w:ilvl="3" w:tplc="E8083AE0" w:tentative="1">
      <w:start w:val="1"/>
      <w:numFmt w:val="bullet"/>
      <w:lvlText w:val="•"/>
      <w:lvlJc w:val="left"/>
      <w:pPr>
        <w:tabs>
          <w:tab w:val="num" w:pos="2880"/>
        </w:tabs>
        <w:ind w:left="2880" w:hanging="360"/>
      </w:pPr>
      <w:rPr>
        <w:rFonts w:ascii="Arial" w:hAnsi="Arial" w:hint="default"/>
      </w:rPr>
    </w:lvl>
    <w:lvl w:ilvl="4" w:tplc="15FA901C" w:tentative="1">
      <w:start w:val="1"/>
      <w:numFmt w:val="bullet"/>
      <w:lvlText w:val="•"/>
      <w:lvlJc w:val="left"/>
      <w:pPr>
        <w:tabs>
          <w:tab w:val="num" w:pos="3600"/>
        </w:tabs>
        <w:ind w:left="3600" w:hanging="360"/>
      </w:pPr>
      <w:rPr>
        <w:rFonts w:ascii="Arial" w:hAnsi="Arial" w:hint="default"/>
      </w:rPr>
    </w:lvl>
    <w:lvl w:ilvl="5" w:tplc="F30C98BC" w:tentative="1">
      <w:start w:val="1"/>
      <w:numFmt w:val="bullet"/>
      <w:lvlText w:val="•"/>
      <w:lvlJc w:val="left"/>
      <w:pPr>
        <w:tabs>
          <w:tab w:val="num" w:pos="4320"/>
        </w:tabs>
        <w:ind w:left="4320" w:hanging="360"/>
      </w:pPr>
      <w:rPr>
        <w:rFonts w:ascii="Arial" w:hAnsi="Arial" w:hint="default"/>
      </w:rPr>
    </w:lvl>
    <w:lvl w:ilvl="6" w:tplc="CD8CF006" w:tentative="1">
      <w:start w:val="1"/>
      <w:numFmt w:val="bullet"/>
      <w:lvlText w:val="•"/>
      <w:lvlJc w:val="left"/>
      <w:pPr>
        <w:tabs>
          <w:tab w:val="num" w:pos="5040"/>
        </w:tabs>
        <w:ind w:left="5040" w:hanging="360"/>
      </w:pPr>
      <w:rPr>
        <w:rFonts w:ascii="Arial" w:hAnsi="Arial" w:hint="default"/>
      </w:rPr>
    </w:lvl>
    <w:lvl w:ilvl="7" w:tplc="94CE1C7A" w:tentative="1">
      <w:start w:val="1"/>
      <w:numFmt w:val="bullet"/>
      <w:lvlText w:val="•"/>
      <w:lvlJc w:val="left"/>
      <w:pPr>
        <w:tabs>
          <w:tab w:val="num" w:pos="5760"/>
        </w:tabs>
        <w:ind w:left="5760" w:hanging="360"/>
      </w:pPr>
      <w:rPr>
        <w:rFonts w:ascii="Arial" w:hAnsi="Arial" w:hint="default"/>
      </w:rPr>
    </w:lvl>
    <w:lvl w:ilvl="8" w:tplc="CB5AB6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825058"/>
    <w:multiLevelType w:val="hybridMultilevel"/>
    <w:tmpl w:val="F6F84A86"/>
    <w:lvl w:ilvl="0" w:tplc="1038AB2C">
      <w:start w:val="1"/>
      <w:numFmt w:val="bullet"/>
      <w:lvlText w:val="•"/>
      <w:lvlJc w:val="left"/>
      <w:pPr>
        <w:tabs>
          <w:tab w:val="num" w:pos="720"/>
        </w:tabs>
        <w:ind w:left="720" w:hanging="360"/>
      </w:pPr>
      <w:rPr>
        <w:rFonts w:ascii="Arial" w:hAnsi="Arial" w:hint="default"/>
      </w:rPr>
    </w:lvl>
    <w:lvl w:ilvl="1" w:tplc="5EA42466">
      <w:start w:val="1"/>
      <w:numFmt w:val="bullet"/>
      <w:lvlText w:val="•"/>
      <w:lvlJc w:val="left"/>
      <w:pPr>
        <w:tabs>
          <w:tab w:val="num" w:pos="1440"/>
        </w:tabs>
        <w:ind w:left="1440" w:hanging="360"/>
      </w:pPr>
      <w:rPr>
        <w:rFonts w:ascii="Arial" w:hAnsi="Arial" w:hint="default"/>
      </w:rPr>
    </w:lvl>
    <w:lvl w:ilvl="2" w:tplc="A342C2EE" w:tentative="1">
      <w:start w:val="1"/>
      <w:numFmt w:val="bullet"/>
      <w:lvlText w:val="•"/>
      <w:lvlJc w:val="left"/>
      <w:pPr>
        <w:tabs>
          <w:tab w:val="num" w:pos="2160"/>
        </w:tabs>
        <w:ind w:left="2160" w:hanging="360"/>
      </w:pPr>
      <w:rPr>
        <w:rFonts w:ascii="Arial" w:hAnsi="Arial" w:hint="default"/>
      </w:rPr>
    </w:lvl>
    <w:lvl w:ilvl="3" w:tplc="D928966C" w:tentative="1">
      <w:start w:val="1"/>
      <w:numFmt w:val="bullet"/>
      <w:lvlText w:val="•"/>
      <w:lvlJc w:val="left"/>
      <w:pPr>
        <w:tabs>
          <w:tab w:val="num" w:pos="2880"/>
        </w:tabs>
        <w:ind w:left="2880" w:hanging="360"/>
      </w:pPr>
      <w:rPr>
        <w:rFonts w:ascii="Arial" w:hAnsi="Arial" w:hint="default"/>
      </w:rPr>
    </w:lvl>
    <w:lvl w:ilvl="4" w:tplc="335225C0" w:tentative="1">
      <w:start w:val="1"/>
      <w:numFmt w:val="bullet"/>
      <w:lvlText w:val="•"/>
      <w:lvlJc w:val="left"/>
      <w:pPr>
        <w:tabs>
          <w:tab w:val="num" w:pos="3600"/>
        </w:tabs>
        <w:ind w:left="3600" w:hanging="360"/>
      </w:pPr>
      <w:rPr>
        <w:rFonts w:ascii="Arial" w:hAnsi="Arial" w:hint="default"/>
      </w:rPr>
    </w:lvl>
    <w:lvl w:ilvl="5" w:tplc="8DBAA082" w:tentative="1">
      <w:start w:val="1"/>
      <w:numFmt w:val="bullet"/>
      <w:lvlText w:val="•"/>
      <w:lvlJc w:val="left"/>
      <w:pPr>
        <w:tabs>
          <w:tab w:val="num" w:pos="4320"/>
        </w:tabs>
        <w:ind w:left="4320" w:hanging="360"/>
      </w:pPr>
      <w:rPr>
        <w:rFonts w:ascii="Arial" w:hAnsi="Arial" w:hint="default"/>
      </w:rPr>
    </w:lvl>
    <w:lvl w:ilvl="6" w:tplc="0D720B00" w:tentative="1">
      <w:start w:val="1"/>
      <w:numFmt w:val="bullet"/>
      <w:lvlText w:val="•"/>
      <w:lvlJc w:val="left"/>
      <w:pPr>
        <w:tabs>
          <w:tab w:val="num" w:pos="5040"/>
        </w:tabs>
        <w:ind w:left="5040" w:hanging="360"/>
      </w:pPr>
      <w:rPr>
        <w:rFonts w:ascii="Arial" w:hAnsi="Arial" w:hint="default"/>
      </w:rPr>
    </w:lvl>
    <w:lvl w:ilvl="7" w:tplc="697E9B78" w:tentative="1">
      <w:start w:val="1"/>
      <w:numFmt w:val="bullet"/>
      <w:lvlText w:val="•"/>
      <w:lvlJc w:val="left"/>
      <w:pPr>
        <w:tabs>
          <w:tab w:val="num" w:pos="5760"/>
        </w:tabs>
        <w:ind w:left="5760" w:hanging="360"/>
      </w:pPr>
      <w:rPr>
        <w:rFonts w:ascii="Arial" w:hAnsi="Arial" w:hint="default"/>
      </w:rPr>
    </w:lvl>
    <w:lvl w:ilvl="8" w:tplc="F0B63B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7527F3"/>
    <w:multiLevelType w:val="hybridMultilevel"/>
    <w:tmpl w:val="B6BCFBFE"/>
    <w:lvl w:ilvl="0" w:tplc="D8F851C8">
      <w:start w:val="1"/>
      <w:numFmt w:val="bullet"/>
      <w:lvlText w:val=""/>
      <w:lvlJc w:val="left"/>
      <w:pPr>
        <w:ind w:left="720" w:hanging="360"/>
      </w:pPr>
      <w:rPr>
        <w:rFonts w:ascii="Symbol" w:hAnsi="Symbol" w:hint="default"/>
      </w:rPr>
    </w:lvl>
    <w:lvl w:ilvl="1" w:tplc="D3AC2EDC" w:tentative="1">
      <w:start w:val="1"/>
      <w:numFmt w:val="bullet"/>
      <w:lvlText w:val="o"/>
      <w:lvlJc w:val="left"/>
      <w:pPr>
        <w:ind w:left="1440" w:hanging="360"/>
      </w:pPr>
      <w:rPr>
        <w:rFonts w:ascii="Courier New" w:hAnsi="Courier New" w:cs="Courier New" w:hint="default"/>
      </w:rPr>
    </w:lvl>
    <w:lvl w:ilvl="2" w:tplc="0CC8D7A8" w:tentative="1">
      <w:start w:val="1"/>
      <w:numFmt w:val="bullet"/>
      <w:lvlText w:val=""/>
      <w:lvlJc w:val="left"/>
      <w:pPr>
        <w:ind w:left="2160" w:hanging="360"/>
      </w:pPr>
      <w:rPr>
        <w:rFonts w:ascii="Wingdings" w:hAnsi="Wingdings" w:hint="default"/>
      </w:rPr>
    </w:lvl>
    <w:lvl w:ilvl="3" w:tplc="D3B2DD78" w:tentative="1">
      <w:start w:val="1"/>
      <w:numFmt w:val="bullet"/>
      <w:lvlText w:val=""/>
      <w:lvlJc w:val="left"/>
      <w:pPr>
        <w:ind w:left="2880" w:hanging="360"/>
      </w:pPr>
      <w:rPr>
        <w:rFonts w:ascii="Symbol" w:hAnsi="Symbol" w:hint="default"/>
      </w:rPr>
    </w:lvl>
    <w:lvl w:ilvl="4" w:tplc="D1566DE8" w:tentative="1">
      <w:start w:val="1"/>
      <w:numFmt w:val="bullet"/>
      <w:lvlText w:val="o"/>
      <w:lvlJc w:val="left"/>
      <w:pPr>
        <w:ind w:left="3600" w:hanging="360"/>
      </w:pPr>
      <w:rPr>
        <w:rFonts w:ascii="Courier New" w:hAnsi="Courier New" w:cs="Courier New" w:hint="default"/>
      </w:rPr>
    </w:lvl>
    <w:lvl w:ilvl="5" w:tplc="C2FE201C" w:tentative="1">
      <w:start w:val="1"/>
      <w:numFmt w:val="bullet"/>
      <w:lvlText w:val=""/>
      <w:lvlJc w:val="left"/>
      <w:pPr>
        <w:ind w:left="4320" w:hanging="360"/>
      </w:pPr>
      <w:rPr>
        <w:rFonts w:ascii="Wingdings" w:hAnsi="Wingdings" w:hint="default"/>
      </w:rPr>
    </w:lvl>
    <w:lvl w:ilvl="6" w:tplc="249021EA" w:tentative="1">
      <w:start w:val="1"/>
      <w:numFmt w:val="bullet"/>
      <w:lvlText w:val=""/>
      <w:lvlJc w:val="left"/>
      <w:pPr>
        <w:ind w:left="5040" w:hanging="360"/>
      </w:pPr>
      <w:rPr>
        <w:rFonts w:ascii="Symbol" w:hAnsi="Symbol" w:hint="default"/>
      </w:rPr>
    </w:lvl>
    <w:lvl w:ilvl="7" w:tplc="4EE058A2" w:tentative="1">
      <w:start w:val="1"/>
      <w:numFmt w:val="bullet"/>
      <w:lvlText w:val="o"/>
      <w:lvlJc w:val="left"/>
      <w:pPr>
        <w:ind w:left="5760" w:hanging="360"/>
      </w:pPr>
      <w:rPr>
        <w:rFonts w:ascii="Courier New" w:hAnsi="Courier New" w:cs="Courier New" w:hint="default"/>
      </w:rPr>
    </w:lvl>
    <w:lvl w:ilvl="8" w:tplc="9A32091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58"/>
    <w:rsid w:val="005A15CE"/>
    <w:rsid w:val="00DE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CF24"/>
  <w15:docId w15:val="{27CEC6B5-0E4A-4AB7-BD79-C57BA51C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Bullet 1,Bullet Styl,Colorful List - Accent 12,Dot pt,Indicator Text,L,List Paragrap,List Paragraph Char Char Char,List Paragraph1,List Paragraph12,List Paragraph2,No Spacing1,No Spacing11,Normal numbered,Numbered Para 1,OBC Bullet"/>
    <w:basedOn w:val="Normal"/>
    <w:link w:val="ListParagraphChar"/>
    <w:uiPriority w:val="34"/>
    <w:qFormat/>
    <w:rsid w:val="00936D0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Bullet Char,Bullet 1 Char,Bullet Styl Char,Colorful List - Accent 12 Char,Dot pt Char,Indicator Text Char,L Char,List Paragrap Char,List Paragraph Char Char Char Char,List Paragraph1 Char,List Paragraph12 Char,List Paragraph2 Char"/>
    <w:link w:val="ListParagraph"/>
    <w:uiPriority w:val="34"/>
    <w:qFormat/>
    <w:rsid w:val="004F2FBE"/>
    <w:rPr>
      <w:rFonts w:ascii="Times New Roman" w:eastAsia="Times New Roman" w:hAnsi="Times New Roman" w:cs="Times New Roman"/>
      <w:sz w:val="24"/>
      <w:szCs w:val="24"/>
      <w:lang w:eastAsia="en-GB"/>
    </w:rPr>
  </w:style>
  <w:style w:type="paragraph" w:styleId="NoSpacing">
    <w:name w:val="No Spacing"/>
    <w:uiPriority w:val="99"/>
    <w:qFormat/>
    <w:rsid w:val="00D070EB"/>
    <w:pPr>
      <w:spacing w:after="0" w:line="240" w:lineRule="auto"/>
    </w:pPr>
    <w:rPr>
      <w:rFonts w:ascii="Arial" w:eastAsia="Calibri" w:hAnsi="Arial" w:cs="Arial"/>
      <w:sz w:val="24"/>
      <w:szCs w:val="24"/>
    </w:rPr>
  </w:style>
  <w:style w:type="table" w:styleId="TableGrid">
    <w:name w:val="Table Grid"/>
    <w:basedOn w:val="TableNormal"/>
    <w:uiPriority w:val="39"/>
    <w:rsid w:val="00D0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4ABA-A417-4019-8DF2-CA5670C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Martin</dc:creator>
  <cp:lastModifiedBy>Milroy, Andy</cp:lastModifiedBy>
  <cp:revision>5</cp:revision>
  <dcterms:created xsi:type="dcterms:W3CDTF">2020-09-07T09:49:00Z</dcterms:created>
  <dcterms:modified xsi:type="dcterms:W3CDTF">2020-09-23T11:40:00Z</dcterms:modified>
</cp:coreProperties>
</file>